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D1F1" w14:textId="77777777" w:rsidR="00D81082" w:rsidRPr="00AA6743" w:rsidRDefault="00D81082" w:rsidP="00F952F7">
      <w:pPr>
        <w:spacing w:after="100" w:afterAutospacing="1" w:line="240" w:lineRule="auto"/>
        <w:ind w:left="57" w:right="57"/>
        <w:jc w:val="center"/>
        <w:rPr>
          <w:rFonts w:cs="Times New Roman"/>
          <w:b/>
          <w:bCs/>
          <w:sz w:val="22"/>
          <w:szCs w:val="22"/>
        </w:rPr>
      </w:pPr>
      <w:r w:rsidRPr="00AA6743">
        <w:rPr>
          <w:rFonts w:cs="Times New Roman"/>
          <w:b/>
          <w:bCs/>
          <w:sz w:val="22"/>
          <w:szCs w:val="22"/>
        </w:rPr>
        <w:t>Training materials for seminars</w:t>
      </w:r>
    </w:p>
    <w:p w14:paraId="6EF4CA76" w14:textId="77777777" w:rsidR="00D81082" w:rsidRPr="00AA6743" w:rsidRDefault="00D81082" w:rsidP="00F952F7">
      <w:pPr>
        <w:spacing w:after="100" w:afterAutospacing="1" w:line="240" w:lineRule="auto"/>
        <w:ind w:left="57" w:right="57"/>
        <w:jc w:val="center"/>
        <w:rPr>
          <w:rFonts w:cs="Times New Roman"/>
          <w:sz w:val="22"/>
          <w:szCs w:val="22"/>
        </w:rPr>
      </w:pPr>
      <w:r w:rsidRPr="00AA6743">
        <w:rPr>
          <w:rFonts w:cs="Times New Roman"/>
          <w:sz w:val="22"/>
          <w:szCs w:val="22"/>
        </w:rPr>
        <w:t>Discipline “Safety of GMO and organic products</w:t>
      </w:r>
    </w:p>
    <w:p w14:paraId="102CA1CF" w14:textId="62007E54" w:rsidR="00A76416" w:rsidRPr="00A76416" w:rsidRDefault="00D81082" w:rsidP="00F952F7">
      <w:pPr>
        <w:spacing w:after="100" w:afterAutospacing="1" w:line="240" w:lineRule="auto"/>
        <w:ind w:left="57" w:right="57"/>
        <w:rPr>
          <w:rFonts w:cs="Times New Roman"/>
          <w:b/>
          <w:sz w:val="22"/>
          <w:szCs w:val="22"/>
        </w:rPr>
      </w:pPr>
      <w:r w:rsidRPr="00AA6743">
        <w:rPr>
          <w:rFonts w:cs="Times New Roman"/>
          <w:b/>
          <w:sz w:val="22"/>
          <w:szCs w:val="22"/>
        </w:rPr>
        <w:t xml:space="preserve">Lab. work 1 </w:t>
      </w:r>
      <w:r w:rsidR="00A76416" w:rsidRPr="00A76416">
        <w:rPr>
          <w:rFonts w:cs="Times New Roman"/>
          <w:bCs/>
          <w:sz w:val="22"/>
          <w:szCs w:val="22"/>
        </w:rPr>
        <w:t xml:space="preserve"> The </w:t>
      </w:r>
      <w:r w:rsidR="00A76416" w:rsidRPr="00A76416">
        <w:rPr>
          <w:rFonts w:eastAsia="TimesNewRomanPSMT" w:cs="Times New Roman"/>
          <w:sz w:val="22"/>
          <w:szCs w:val="22"/>
        </w:rPr>
        <w:t xml:space="preserve"> </w:t>
      </w:r>
      <w:r w:rsidR="00A76416" w:rsidRPr="00A76416">
        <w:rPr>
          <w:rFonts w:cs="Times New Roman"/>
          <w:bCs/>
          <w:sz w:val="22"/>
          <w:szCs w:val="22"/>
          <w:lang w:eastAsia="ar-SA"/>
        </w:rPr>
        <w:t>molecular</w:t>
      </w:r>
      <w:r w:rsidR="00A76416" w:rsidRPr="00A76416">
        <w:rPr>
          <w:rFonts w:eastAsia="TimesNewRomanPSMT" w:cs="Times New Roman"/>
          <w:sz w:val="22"/>
          <w:szCs w:val="22"/>
        </w:rPr>
        <w:t xml:space="preserve"> </w:t>
      </w:r>
      <w:r w:rsidR="00A76416" w:rsidRPr="00A76416">
        <w:rPr>
          <w:rFonts w:cs="Times New Roman"/>
          <w:bCs/>
          <w:sz w:val="22"/>
          <w:szCs w:val="22"/>
          <w:lang w:eastAsia="ar-SA"/>
        </w:rPr>
        <w:t>biotechnology used for n creation GMOs.</w:t>
      </w:r>
    </w:p>
    <w:p w14:paraId="1B4829FD"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sz w:val="22"/>
          <w:szCs w:val="22"/>
        </w:rPr>
        <w:t xml:space="preserve"> M</w:t>
      </w:r>
      <w:r w:rsidRPr="00A76416">
        <w:rPr>
          <w:rFonts w:cs="Times New Roman"/>
          <w:sz w:val="22"/>
          <w:szCs w:val="22"/>
          <w:lang w:val="en"/>
        </w:rPr>
        <w:t xml:space="preserve">ain approaches and methods of </w:t>
      </w:r>
      <w:r w:rsidRPr="00A76416">
        <w:rPr>
          <w:rFonts w:cs="Times New Roman"/>
          <w:bCs/>
          <w:sz w:val="22"/>
          <w:szCs w:val="22"/>
        </w:rPr>
        <w:t>molecular biotechnology</w:t>
      </w:r>
    </w:p>
    <w:p w14:paraId="3A7F93B2"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Whole blood samples are one of the main sources used to obtain DNA, and there are many different protocols available to perform nucleic acid extraction on such samples. These methods vary from very basic manual protocols to more sophisticated methods included in automated DNA extraction protocols.</w:t>
      </w:r>
    </w:p>
    <w:p w14:paraId="4B51E3C3"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Solution-based DNA extraction methods using organic solvents</w:t>
      </w:r>
    </w:p>
    <w:p w14:paraId="1F9B905A"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Solution-based DNA extraction methods using salting out</w:t>
      </w:r>
    </w:p>
    <w:p w14:paraId="2DFD7E60"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Solid-phase DNA extraction methods</w:t>
      </w:r>
    </w:p>
    <w:p w14:paraId="70E5ECC2"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DNA extraction methods using silica and silica matrices</w:t>
      </w:r>
    </w:p>
    <w:p w14:paraId="3FB8BE0C"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DNA extraction using anion exchange resins</w:t>
      </w:r>
    </w:p>
    <w:p w14:paraId="2D5F97AB"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DNA extraction methods using magnetic beads</w:t>
      </w:r>
    </w:p>
    <w:p w14:paraId="474A55A2" w14:textId="77777777" w:rsidR="00A76416" w:rsidRPr="00A76416" w:rsidRDefault="00A76416" w:rsidP="00F952F7">
      <w:pPr>
        <w:spacing w:after="100" w:afterAutospacing="1" w:line="240" w:lineRule="auto"/>
        <w:ind w:left="57" w:right="57"/>
        <w:rPr>
          <w:rFonts w:cs="Times New Roman"/>
          <w:sz w:val="22"/>
          <w:szCs w:val="22"/>
        </w:rPr>
      </w:pPr>
      <w:r w:rsidRPr="00A76416">
        <w:rPr>
          <w:rFonts w:cs="Times New Roman"/>
          <w:sz w:val="22"/>
          <w:szCs w:val="22"/>
        </w:rPr>
        <w:t>Main types of DNA extraction methods from human whole blood samples</w:t>
      </w:r>
    </w:p>
    <w:p w14:paraId="2B060884" w14:textId="77777777" w:rsidR="00E1612B" w:rsidRDefault="00E1612B" w:rsidP="00E1612B">
      <w:pPr>
        <w:shd w:val="clear" w:color="auto" w:fill="FFFFFF"/>
        <w:spacing w:before="75" w:after="165" w:line="347" w:lineRule="atLeast"/>
        <w:outlineLvl w:val="1"/>
        <w:rPr>
          <w:rFonts w:eastAsia="Times New Roman" w:cs="Times New Roman"/>
          <w:spacing w:val="8"/>
          <w:sz w:val="22"/>
          <w:szCs w:val="22"/>
        </w:rPr>
      </w:pPr>
      <w:r>
        <w:rPr>
          <w:rFonts w:eastAsia="Times New Roman" w:cs="Times New Roman"/>
          <w:spacing w:val="8"/>
          <w:sz w:val="22"/>
          <w:szCs w:val="22"/>
        </w:rPr>
        <w:t>Methods for genomic DNA isolation</w:t>
      </w:r>
    </w:p>
    <w:p w14:paraId="21818AD8" w14:textId="77777777" w:rsidR="00E1612B" w:rsidRDefault="00E1612B" w:rsidP="00E1612B">
      <w:pPr>
        <w:shd w:val="clear" w:color="auto" w:fill="FFFFFF"/>
        <w:spacing w:after="300" w:line="240" w:lineRule="auto"/>
        <w:rPr>
          <w:rFonts w:eastAsia="Times New Roman" w:cs="Times New Roman"/>
          <w:i/>
          <w:spacing w:val="8"/>
          <w:sz w:val="22"/>
          <w:szCs w:val="22"/>
        </w:rPr>
      </w:pPr>
      <w:r>
        <w:rPr>
          <w:rFonts w:eastAsia="Times New Roman" w:cs="Times New Roman"/>
          <w:sz w:val="22"/>
          <w:szCs w:val="22"/>
        </w:rPr>
        <w:t>Three general methods for genomic DNA isolation are common, and each is based on a different biochemical principle. Selection of a method is based on the throughput required, equipment available in the lab, and how the purified genomic DNA will be used.</w:t>
      </w:r>
      <w:r>
        <w:rPr>
          <w:rFonts w:eastAsia="Times New Roman" w:cs="Times New Roman"/>
          <w:sz w:val="22"/>
          <w:szCs w:val="22"/>
        </w:rPr>
        <w:br/>
      </w:r>
      <w:r>
        <w:rPr>
          <w:rFonts w:eastAsia="Times New Roman" w:cs="Times New Roman"/>
          <w:i/>
          <w:sz w:val="22"/>
          <w:szCs w:val="22"/>
        </w:rPr>
        <w:t> </w:t>
      </w:r>
      <w:r>
        <w:rPr>
          <w:rFonts w:eastAsia="Times New Roman" w:cs="Times New Roman"/>
          <w:i/>
          <w:spacing w:val="8"/>
          <w:sz w:val="22"/>
          <w:szCs w:val="22"/>
        </w:rPr>
        <w:t>Organic extraction and precipitation</w:t>
      </w:r>
    </w:p>
    <w:p w14:paraId="01B8409D" w14:textId="77777777" w:rsidR="00E1612B" w:rsidRDefault="00E1612B" w:rsidP="00E1612B">
      <w:pPr>
        <w:shd w:val="clear" w:color="auto" w:fill="FFFFFF"/>
        <w:spacing w:after="300" w:line="240" w:lineRule="auto"/>
        <w:rPr>
          <w:rFonts w:eastAsia="Times New Roman" w:cs="Times New Roman"/>
          <w:i/>
          <w:spacing w:val="8"/>
          <w:sz w:val="22"/>
          <w:szCs w:val="22"/>
        </w:rPr>
      </w:pPr>
      <w:r>
        <w:rPr>
          <w:rFonts w:eastAsia="Times New Roman" w:cs="Times New Roman"/>
          <w:sz w:val="22"/>
          <w:szCs w:val="22"/>
        </w:rPr>
        <w:t>Genomic DNA isolation by organic extraction involves the addition of phenol and quanidine isothiocynate to separate the DNA and proteins into different organic phases. Organic extraction is a low-cost method and, with advanced reagents such as </w:t>
      </w:r>
      <w:hyperlink r:id="rId5" w:history="1">
        <w:r>
          <w:rPr>
            <w:rStyle w:val="a3"/>
            <w:rFonts w:eastAsia="Times New Roman" w:cs="Times New Roman"/>
            <w:color w:val="auto"/>
            <w:sz w:val="22"/>
            <w:szCs w:val="22"/>
          </w:rPr>
          <w:t>DNAzol</w:t>
        </w:r>
      </w:hyperlink>
      <w:r>
        <w:rPr>
          <w:rFonts w:eastAsia="Times New Roman" w:cs="Times New Roman"/>
          <w:sz w:val="22"/>
          <w:szCs w:val="22"/>
        </w:rPr>
        <w:t>, is a straightforward method requiring very little equipment.</w:t>
      </w:r>
      <w:r>
        <w:rPr>
          <w:rFonts w:eastAsia="Times New Roman" w:cs="Times New Roman"/>
          <w:sz w:val="22"/>
          <w:szCs w:val="22"/>
        </w:rPr>
        <w:br/>
        <w:t> </w:t>
      </w:r>
      <w:r>
        <w:rPr>
          <w:rFonts w:eastAsia="Times New Roman" w:cs="Times New Roman"/>
          <w:i/>
          <w:spacing w:val="8"/>
          <w:sz w:val="22"/>
          <w:szCs w:val="22"/>
        </w:rPr>
        <w:t>Silica</w:t>
      </w:r>
    </w:p>
    <w:p w14:paraId="149366BC" w14:textId="77777777" w:rsidR="00E1612B" w:rsidRDefault="00E1612B" w:rsidP="00E1612B">
      <w:pPr>
        <w:shd w:val="clear" w:color="auto" w:fill="FFFFFF"/>
        <w:spacing w:after="300" w:line="240" w:lineRule="auto"/>
        <w:rPr>
          <w:rFonts w:eastAsia="Times New Roman" w:cs="Times New Roman"/>
          <w:sz w:val="22"/>
          <w:szCs w:val="22"/>
        </w:rPr>
      </w:pPr>
      <w:r>
        <w:rPr>
          <w:rFonts w:eastAsia="Times New Roman" w:cs="Times New Roman"/>
          <w:sz w:val="22"/>
          <w:szCs w:val="22"/>
        </w:rPr>
        <w:t>DNA binds to silica (aka glass fibers) under high-salt conditions and can be released under low-salt conditions. Silica-containing columns provide an easy way to bind, wash, and elute purified genomic DNA from multiple clarified cell lysates in parallel.</w:t>
      </w:r>
    </w:p>
    <w:p w14:paraId="75D8E767" w14:textId="77777777" w:rsidR="00E1612B" w:rsidRDefault="00E1612B" w:rsidP="00E1612B">
      <w:pPr>
        <w:shd w:val="clear" w:color="auto" w:fill="FFFFFF"/>
        <w:spacing w:after="300" w:line="240" w:lineRule="auto"/>
        <w:rPr>
          <w:rFonts w:eastAsia="Times New Roman" w:cs="Times New Roman"/>
          <w:sz w:val="22"/>
          <w:szCs w:val="22"/>
        </w:rPr>
      </w:pPr>
      <w:r>
        <w:rPr>
          <w:rFonts w:eastAsia="Times New Roman" w:cs="Times New Roman"/>
          <w:sz w:val="22"/>
          <w:szCs w:val="22"/>
        </w:rPr>
        <w:t>Columns are designed to flow buffers through centrifugation, vacuum, or gravity. </w:t>
      </w:r>
      <w:hyperlink r:id="rId6" w:history="1">
        <w:r>
          <w:rPr>
            <w:rStyle w:val="a3"/>
            <w:rFonts w:eastAsia="Times New Roman" w:cs="Times New Roman"/>
            <w:color w:val="auto"/>
            <w:sz w:val="22"/>
            <w:szCs w:val="22"/>
          </w:rPr>
          <w:t>PureLink Genomic DNA Mini Kits</w:t>
        </w:r>
      </w:hyperlink>
      <w:r>
        <w:rPr>
          <w:rFonts w:eastAsia="Times New Roman" w:cs="Times New Roman"/>
          <w:sz w:val="22"/>
          <w:szCs w:val="22"/>
        </w:rPr>
        <w:t> use spin column technology and work in a microcentrifuge for easy prep of up to 18 samples at a time. Spin plates provide the same isolation technology in a high-throughput, automation-friendly format.</w:t>
      </w:r>
      <w:r>
        <w:rPr>
          <w:rFonts w:eastAsia="Times New Roman" w:cs="Times New Roman"/>
          <w:sz w:val="22"/>
          <w:szCs w:val="22"/>
        </w:rPr>
        <w:br/>
        <w:t> </w:t>
      </w:r>
    </w:p>
    <w:p w14:paraId="1D32589A" w14:textId="77777777" w:rsidR="00E1612B" w:rsidRDefault="00E1612B" w:rsidP="00E1612B">
      <w:pPr>
        <w:shd w:val="clear" w:color="auto" w:fill="FFFFFF"/>
        <w:spacing w:line="360" w:lineRule="atLeast"/>
        <w:rPr>
          <w:rFonts w:eastAsia="Times New Roman" w:cs="Times New Roman"/>
          <w:spacing w:val="8"/>
          <w:sz w:val="22"/>
          <w:szCs w:val="22"/>
        </w:rPr>
      </w:pPr>
      <w:r>
        <w:rPr>
          <w:rFonts w:eastAsia="Times New Roman" w:cs="Times New Roman"/>
          <w:spacing w:val="8"/>
          <w:sz w:val="22"/>
          <w:szCs w:val="22"/>
        </w:rPr>
        <w:t>Paramagnetic beads</w:t>
      </w:r>
    </w:p>
    <w:p w14:paraId="2F7DBAED" w14:textId="77777777" w:rsidR="00E1612B" w:rsidRDefault="00E1612B" w:rsidP="00E1612B">
      <w:pPr>
        <w:shd w:val="clear" w:color="auto" w:fill="FFFFFF"/>
        <w:spacing w:after="300" w:line="240" w:lineRule="auto"/>
        <w:rPr>
          <w:rFonts w:eastAsia="Times New Roman" w:cs="Times New Roman"/>
          <w:sz w:val="22"/>
          <w:szCs w:val="22"/>
        </w:rPr>
      </w:pPr>
      <w:r>
        <w:rPr>
          <w:rFonts w:eastAsia="Times New Roman" w:cs="Times New Roman"/>
          <w:sz w:val="22"/>
          <w:szCs w:val="22"/>
        </w:rPr>
        <w:t xml:space="preserve">In this method, paramagnetic (attracted to magnet) beads are added to the sample, and genomic DNA binds to the beads. Using a strong magnet, the beads are held in place while removing unwanted material. After washing, the genomic DNA is eluted from the beads in water or a low-salt buffer. The bead-based method, </w:t>
      </w:r>
      <w:r>
        <w:rPr>
          <w:rFonts w:eastAsia="Times New Roman" w:cs="Times New Roman"/>
          <w:sz w:val="22"/>
          <w:szCs w:val="22"/>
        </w:rPr>
        <w:lastRenderedPageBreak/>
        <w:t>used in </w:t>
      </w:r>
      <w:hyperlink r:id="rId7" w:history="1">
        <w:r>
          <w:rPr>
            <w:rStyle w:val="a3"/>
            <w:rFonts w:eastAsia="Times New Roman" w:cs="Times New Roman"/>
            <w:color w:val="auto"/>
            <w:sz w:val="22"/>
            <w:szCs w:val="22"/>
          </w:rPr>
          <w:t>MagMAX multi-sample DNA isolation</w:t>
        </w:r>
      </w:hyperlink>
      <w:r>
        <w:rPr>
          <w:rFonts w:eastAsia="Times New Roman" w:cs="Times New Roman"/>
          <w:sz w:val="22"/>
          <w:szCs w:val="22"/>
        </w:rPr>
        <w:t> and related kits, is scalable and automation compatible.</w:t>
      </w:r>
      <w:r>
        <w:rPr>
          <w:rFonts w:eastAsia="Times New Roman" w:cs="Times New Roman"/>
          <w:sz w:val="22"/>
          <w:szCs w:val="22"/>
        </w:rPr>
        <w:br/>
        <w:t> </w:t>
      </w:r>
    </w:p>
    <w:p w14:paraId="6A45418D" w14:textId="77777777" w:rsidR="00E1612B" w:rsidRDefault="00E1612B" w:rsidP="00E1612B">
      <w:pPr>
        <w:shd w:val="clear" w:color="auto" w:fill="FFFFFF"/>
        <w:spacing w:before="75" w:after="75" w:line="240" w:lineRule="auto"/>
        <w:outlineLvl w:val="0"/>
        <w:rPr>
          <w:rFonts w:eastAsia="Times New Roman" w:cs="Times New Roman"/>
          <w:caps/>
          <w:kern w:val="36"/>
          <w:sz w:val="22"/>
          <w:szCs w:val="22"/>
        </w:rPr>
      </w:pPr>
      <w:r>
        <w:rPr>
          <w:rFonts w:eastAsia="Times New Roman" w:cs="Times New Roman"/>
          <w:caps/>
          <w:kern w:val="36"/>
          <w:sz w:val="22"/>
          <w:szCs w:val="22"/>
        </w:rPr>
        <w:t>CTAB PROTOCOL FOR ISOLATING DNA FROM PLANT TISSUES</w:t>
      </w:r>
    </w:p>
    <w:p w14:paraId="7DF0A6BF" w14:textId="77777777" w:rsidR="00E1612B" w:rsidRDefault="00E1612B" w:rsidP="00E1612B">
      <w:pPr>
        <w:shd w:val="clear" w:color="auto" w:fill="FFFFFF"/>
        <w:spacing w:before="240" w:after="240" w:line="240" w:lineRule="auto"/>
        <w:jc w:val="center"/>
        <w:rPr>
          <w:rFonts w:eastAsia="Times New Roman" w:cs="Times New Roman"/>
          <w:sz w:val="22"/>
          <w:szCs w:val="22"/>
        </w:rPr>
      </w:pPr>
      <w:r>
        <w:rPr>
          <w:rFonts w:eastAsia="Times New Roman" w:cs="Times New Roman"/>
          <w:sz w:val="22"/>
          <w:szCs w:val="22"/>
        </w:rPr>
        <w:t>.</w:t>
      </w:r>
    </w:p>
    <w:p w14:paraId="1439D624"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Isolating Deoxyribonucleic Acid (DNA) from plant tissues can be challenging as the biochemistry between divergent plant species can be extremely different. Unlike animal tissues where the same tissue type from different species usually has similar characteristics, plant tissue can have variable levels of metabolites and structural biomolecules. Polysaccharides and polyphenols are two classes of plant biomolecules that vary significantly between species and are problematic when isolating DNA. Contaminating polysaccharides and polyphenols can interfere with manipulations of DNA following isolation.</w:t>
      </w:r>
    </w:p>
    <w:p w14:paraId="09D8D429"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The following protocols for isolating clean plant DNA, both start with a traditional approach using a cetyltrimethylammonium bromide (CTAB) buffer. At that point they diverge, the first protocol makes use of phenol and chloroform, and the second protocol uses a reverse solid phase extraction (i.e., capturing contaminants on a solid phase). Methods using phenol and chloroform are preferred for the isolation of high molecular weight DNA, however both chemicals are considered hazardous. Phenol can cause very serious chemical burns while chloroform is a known carcinogen. The CTAB method using solid phase extraction, avoids phenol and chloroform and is best used for assays where smaller DNA fragment sizes are acceptable.</w:t>
      </w:r>
    </w:p>
    <w:p w14:paraId="5E4FDB65" w14:textId="6391E944" w:rsidR="00E1612B" w:rsidRDefault="00E1612B" w:rsidP="00E1612B">
      <w:pPr>
        <w:spacing w:line="240" w:lineRule="auto"/>
        <w:rPr>
          <w:rFonts w:eastAsia="Times New Roman" w:cs="Times New Roman"/>
          <w:sz w:val="22"/>
          <w:szCs w:val="22"/>
        </w:rPr>
      </w:pPr>
      <w:r>
        <w:rPr>
          <w:noProof/>
        </w:rPr>
        <mc:AlternateContent>
          <mc:Choice Requires="wps">
            <w:drawing>
              <wp:inline distT="0" distB="0" distL="0" distR="0" wp14:anchorId="762E678D" wp14:editId="2E2BDB89">
                <wp:extent cx="306705" cy="30670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26F21" id="Прямоугольник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38A09BDE" w14:textId="77777777" w:rsidR="00E1612B" w:rsidRDefault="00E1612B" w:rsidP="00E1612B">
      <w:pPr>
        <w:shd w:val="clear" w:color="auto" w:fill="FFFFFF"/>
        <w:spacing w:before="240" w:after="240" w:line="240" w:lineRule="auto"/>
        <w:rPr>
          <w:rFonts w:eastAsia="Times New Roman" w:cs="Times New Roman"/>
          <w:color w:val="008080"/>
          <w:sz w:val="22"/>
          <w:szCs w:val="22"/>
        </w:rPr>
      </w:pPr>
      <w:r>
        <w:rPr>
          <w:rFonts w:eastAsia="Times New Roman" w:cs="Times New Roman"/>
          <w:color w:val="008080"/>
          <w:sz w:val="22"/>
          <w:szCs w:val="22"/>
        </w:rPr>
        <w:t>Skip ahead to the protocols:</w:t>
      </w:r>
    </w:p>
    <w:p w14:paraId="048855E4" w14:textId="77777777" w:rsidR="00E1612B" w:rsidRDefault="00E1612B" w:rsidP="00E1612B">
      <w:pPr>
        <w:shd w:val="clear" w:color="auto" w:fill="FFFFFF"/>
        <w:spacing w:before="240" w:after="240" w:line="240" w:lineRule="auto"/>
        <w:rPr>
          <w:rFonts w:eastAsia="Times New Roman" w:cs="Times New Roman"/>
          <w:color w:val="777777"/>
          <w:sz w:val="22"/>
          <w:szCs w:val="22"/>
        </w:rPr>
      </w:pPr>
      <w:hyperlink r:id="rId8" w:anchor="phenolpr" w:history="1">
        <w:r>
          <w:rPr>
            <w:rStyle w:val="a3"/>
            <w:rFonts w:eastAsia="Times New Roman" w:cs="Times New Roman"/>
            <w:sz w:val="22"/>
            <w:szCs w:val="22"/>
            <w:shd w:val="clear" w:color="auto" w:fill="FFFFFF"/>
          </w:rPr>
          <w:t>Plant DNA Isolation using Phenol/Chloroform Extraction</w:t>
        </w:r>
      </w:hyperlink>
    </w:p>
    <w:p w14:paraId="7D53AED1" w14:textId="77777777" w:rsidR="00E1612B" w:rsidRDefault="00E1612B" w:rsidP="00E1612B">
      <w:pPr>
        <w:shd w:val="clear" w:color="auto" w:fill="FFFFFF"/>
        <w:spacing w:before="240" w:after="240" w:line="240" w:lineRule="auto"/>
        <w:rPr>
          <w:rFonts w:eastAsia="Times New Roman" w:cs="Times New Roman"/>
          <w:color w:val="777777"/>
          <w:sz w:val="22"/>
          <w:szCs w:val="22"/>
        </w:rPr>
      </w:pPr>
      <w:hyperlink r:id="rId9" w:anchor="Synergy" w:history="1">
        <w:r>
          <w:rPr>
            <w:rStyle w:val="a3"/>
            <w:rFonts w:eastAsia="Times New Roman" w:cs="Times New Roman"/>
            <w:sz w:val="22"/>
            <w:szCs w:val="22"/>
            <w:shd w:val="clear" w:color="auto" w:fill="FFFFFF"/>
          </w:rPr>
          <w:t>Plant DNA Isolation using Reverse Solid Phase Extraction</w:t>
        </w:r>
      </w:hyperlink>
    </w:p>
    <w:p w14:paraId="0E668176" w14:textId="77777777" w:rsidR="00E1612B" w:rsidRDefault="00E1612B" w:rsidP="00E1612B">
      <w:pPr>
        <w:shd w:val="clear" w:color="auto" w:fill="FFFFFF"/>
        <w:spacing w:before="240" w:after="240" w:line="240" w:lineRule="auto"/>
        <w:rPr>
          <w:rFonts w:eastAsia="Times New Roman" w:cs="Times New Roman"/>
          <w:caps/>
          <w:sz w:val="22"/>
          <w:szCs w:val="22"/>
        </w:rPr>
      </w:pPr>
      <w:r>
        <w:rPr>
          <w:rFonts w:eastAsia="Times New Roman" w:cs="Times New Roman"/>
          <w:color w:val="777777"/>
          <w:sz w:val="22"/>
          <w:szCs w:val="22"/>
        </w:rPr>
        <w:t> </w:t>
      </w:r>
      <w:r>
        <w:rPr>
          <w:rFonts w:eastAsia="Times New Roman" w:cs="Times New Roman"/>
          <w:caps/>
          <w:sz w:val="22"/>
          <w:szCs w:val="22"/>
        </w:rPr>
        <w:t>ISOLATION CHEMISTRY</w:t>
      </w:r>
    </w:p>
    <w:p w14:paraId="0D815753"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As mentioned, polysaccharides and polyphenols are problematic when isolating DNA from plant tissues. CTAB buffers are effective at removing polysaccharides and polyphenols from plant DNA preparations. CTAB (also called hexadecyltrimethylammonium bromide) is a cationic detergent that facilitates the separation of polysaccharides during purification while additives, such as polyvinylpyrrolidone, aid in inactivating polyphenols. CTAB based extraction buffers are widely used when purifying DNA from plant tissues. The hazard with traditional CTAB protocols is the protein component of plant lysates is usually removed using phenol and chloroform. These two solvents are generally considered hazardous. The solid phase protocol listed below is an alternative. CTAB is more than a surfactant and its properties can be used in several ways to purify DNA. One option for purifying DNA using CTAB exploits the different solubilities of polysaccharides and DNA in CTAB depending upon the concentration of sodium chloride. At higher salt concentrations (1.4 M), polysaccharides are insoluble, while at lower concentrations (600 mM) DNA is insoluble. Consequently, adjusting salt concentration in lysates with CTAB, polysaccharides and DNA can be differentially precipitated. Most methods use CTAB to remove polysaccharides, followed by protein removal and DNA separation using precipitation or spin columns.</w:t>
      </w:r>
    </w:p>
    <w:p w14:paraId="35FFBB42"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 xml:space="preserve">Plant cells contain phenolic compounds, such as catechol, that are catalyzed by polyphenol oxidase to o-quinones. The o-quinones in turn can alkylate and inactivate proteins. Polyphenol oxidases are found in plastids (i.e., chloroplasts) while catechol is found in vacuoles. When plant cells and tissues are disrupted, the enzyme and substrate mix and generate the reactive o-quinones (which is associated with browning of damaged leaves and fruit). Therefore, homogenizing plant tissue yields reactive molecules that can potentially interfere with subsequent manipulation of the DNA. To avoid the production of o-quinones, phenolic precursors are captured </w:t>
      </w:r>
      <w:r>
        <w:rPr>
          <w:rFonts w:eastAsia="Times New Roman" w:cs="Times New Roman"/>
          <w:sz w:val="22"/>
          <w:szCs w:val="22"/>
        </w:rPr>
        <w:lastRenderedPageBreak/>
        <w:t>by polyvinylpyrrolidone (PVP) that is present in the homogenization buffer. PVP binds strongly with aromatic compounds, such as catechol and subsequent polyphenols, and prevents the formation of reactive o-quinones. CTAB-based protocols tend to work very well, but with one significant disadvantage phenol/chloroform extractions are routinely used to separate protein from the DNA. As chloroform is carcinogenic, many institutions frown upon its use. Furthermore, phenol can cause serious chemical burns. The traditional protocol will be covered, as well as an alternative protocol that uses solid phase extraction. The solid phase extraction is the basis of the Synergy™ Plant DNA Extraction Kit.</w:t>
      </w:r>
    </w:p>
    <w:p w14:paraId="09C411E1" w14:textId="77777777" w:rsidR="00A76416" w:rsidRPr="00A76416" w:rsidRDefault="00A76416" w:rsidP="00F952F7">
      <w:pPr>
        <w:spacing w:after="100" w:afterAutospacing="1" w:line="240" w:lineRule="auto"/>
        <w:ind w:left="57" w:right="57"/>
        <w:rPr>
          <w:rFonts w:cs="Times New Roman"/>
          <w:bCs/>
          <w:sz w:val="22"/>
          <w:szCs w:val="22"/>
        </w:rPr>
      </w:pPr>
    </w:p>
    <w:p w14:paraId="41EE990A" w14:textId="2D740C57" w:rsidR="00A76416" w:rsidRPr="00A76416" w:rsidRDefault="00AA6743" w:rsidP="00F952F7">
      <w:pPr>
        <w:spacing w:after="100" w:afterAutospacing="1" w:line="240" w:lineRule="auto"/>
        <w:ind w:left="57" w:right="57"/>
        <w:rPr>
          <w:rFonts w:cs="Times New Roman"/>
          <w:bCs/>
          <w:sz w:val="22"/>
          <w:szCs w:val="22"/>
        </w:rPr>
      </w:pPr>
      <w:r w:rsidRPr="00AA6743">
        <w:rPr>
          <w:rFonts w:cs="Times New Roman"/>
          <w:b/>
          <w:sz w:val="22"/>
          <w:szCs w:val="22"/>
        </w:rPr>
        <w:t>Lab. work</w:t>
      </w:r>
      <w:r w:rsidR="00A76416" w:rsidRPr="00A76416">
        <w:rPr>
          <w:rFonts w:cs="Times New Roman"/>
          <w:b/>
          <w:sz w:val="22"/>
          <w:szCs w:val="22"/>
        </w:rPr>
        <w:t xml:space="preserve"> 2</w:t>
      </w:r>
      <w:r w:rsidR="00A76416" w:rsidRPr="00A76416">
        <w:rPr>
          <w:rFonts w:cs="Times New Roman"/>
          <w:sz w:val="22"/>
          <w:szCs w:val="22"/>
        </w:rPr>
        <w:t xml:space="preserve"> </w:t>
      </w:r>
      <w:r w:rsidR="00A76416" w:rsidRPr="00A76416">
        <w:rPr>
          <w:rFonts w:cs="Times New Roman"/>
          <w:i/>
          <w:iCs/>
          <w:sz w:val="22"/>
          <w:szCs w:val="22"/>
        </w:rPr>
        <w:t>Methods of e</w:t>
      </w:r>
      <w:r w:rsidR="00A76416" w:rsidRPr="00A76416">
        <w:rPr>
          <w:rFonts w:cs="Times New Roman"/>
          <w:bCs/>
          <w:i/>
          <w:iCs/>
          <w:sz w:val="22"/>
          <w:szCs w:val="22"/>
        </w:rPr>
        <w:t>xtraction of nucleic acids from different biological materials</w:t>
      </w:r>
    </w:p>
    <w:p w14:paraId="7971E63A"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DNA extraction protocols using organic solvents derived originally from a series of related RNA extraction methods. Some of the main steps used in these methods are:</w:t>
      </w:r>
    </w:p>
    <w:p w14:paraId="219A37DB"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 xml:space="preserve"> 1) cell lysis undertaken by adding a detergent/chaotropic-containing solution, including SDS or N-Lauroyl sarcosine; </w:t>
      </w:r>
    </w:p>
    <w:p w14:paraId="345D9EE8"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2) inactivation of DNases and RNases, usually through the use of organic solvents;</w:t>
      </w:r>
    </w:p>
    <w:p w14:paraId="06A5F5AA" w14:textId="77777777" w:rsidR="00A76416" w:rsidRP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 xml:space="preserve"> 3) purification of DNA and removal of RNA, lipids, and proteins; </w:t>
      </w:r>
    </w:p>
    <w:p w14:paraId="27CE23E5" w14:textId="64C1AABD" w:rsid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4) resuspension of extracted nucleic acids.</w:t>
      </w:r>
    </w:p>
    <w:p w14:paraId="06E5ACE0" w14:textId="77777777" w:rsidR="00E1612B" w:rsidRDefault="00E1612B" w:rsidP="00E1612B">
      <w:pPr>
        <w:shd w:val="clear" w:color="auto" w:fill="FFFFFF"/>
        <w:spacing w:before="75" w:after="75" w:line="240" w:lineRule="auto"/>
        <w:outlineLvl w:val="1"/>
        <w:rPr>
          <w:rFonts w:eastAsia="Times New Roman" w:cs="Times New Roman"/>
          <w:caps/>
          <w:sz w:val="22"/>
          <w:szCs w:val="22"/>
        </w:rPr>
      </w:pPr>
      <w:r>
        <w:rPr>
          <w:rFonts w:eastAsia="Times New Roman" w:cs="Times New Roman"/>
          <w:caps/>
          <w:sz w:val="22"/>
          <w:szCs w:val="22"/>
        </w:rPr>
        <w:t>PLANT DNA ISOLATION USING PHENOL/CHLOROFORM EXTRACTION</w:t>
      </w:r>
    </w:p>
    <w:p w14:paraId="3425B6A9"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This method is best for isolating high molecular weight DNA. Caution is needed when working with liquid nitrogen, chloroform, and phenol. Consult your organization’s safety guidelines when working with these hazardous materials.</w:t>
      </w:r>
    </w:p>
    <w:p w14:paraId="25DD4E75" w14:textId="77777777" w:rsidR="00E1612B" w:rsidRDefault="00E1612B" w:rsidP="00E1612B">
      <w:pPr>
        <w:shd w:val="clear" w:color="auto" w:fill="FFFFFF"/>
        <w:spacing w:before="75" w:after="75" w:line="240" w:lineRule="auto"/>
        <w:outlineLvl w:val="2"/>
        <w:rPr>
          <w:rFonts w:eastAsia="Times New Roman" w:cs="Times New Roman"/>
          <w:caps/>
          <w:sz w:val="22"/>
          <w:szCs w:val="22"/>
        </w:rPr>
      </w:pPr>
      <w:r>
        <w:rPr>
          <w:rFonts w:eastAsia="Times New Roman" w:cs="Times New Roman"/>
          <w:caps/>
          <w:sz w:val="22"/>
          <w:szCs w:val="22"/>
        </w:rPr>
        <w:t>MATERIALS</w:t>
      </w:r>
    </w:p>
    <w:p w14:paraId="3617A8E9"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CTAB buffer: 2% cetyl trimethylammonium bromide, 1% polyvinylpyrrolidone, 100 mM Tris-HCl, 1.4 M NaCl, 20 mM EDTA, or CTAB Extraction Buffer</w:t>
      </w:r>
    </w:p>
    <w:p w14:paraId="44B7B448"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Polypropylene tubes (don’t use polycarbonate tubes with phenol and chloroform)</w:t>
      </w:r>
    </w:p>
    <w:p w14:paraId="568C0C7D"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Centrifuge (at least 14,000 x g)</w:t>
      </w:r>
    </w:p>
    <w:p w14:paraId="55C80B8C"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RNase A Solution (10 mg/ml in water, DNase-free)</w:t>
      </w:r>
    </w:p>
    <w:p w14:paraId="766FE887"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Isopropanol</w:t>
      </w:r>
    </w:p>
    <w:p w14:paraId="3E3867BF"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70% Ethanol</w:t>
      </w:r>
    </w:p>
    <w:p w14:paraId="14F0E906"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2 ml polypropylene centrifuge tubes</w:t>
      </w:r>
    </w:p>
    <w:p w14:paraId="79284E76"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Centrifugal Vacuum Concentrator (e.g., SpeedVac)</w:t>
      </w:r>
    </w:p>
    <w:p w14:paraId="1A57096B"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TE Buffer (10 mM Tris, pH 8, 1 mM EDTA)</w:t>
      </w:r>
    </w:p>
    <w:p w14:paraId="18110DCA" w14:textId="77777777" w:rsidR="00E1612B" w:rsidRDefault="00E1612B" w:rsidP="00E1612B">
      <w:pPr>
        <w:numPr>
          <w:ilvl w:val="0"/>
          <w:numId w:val="1"/>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Phenol/Chloroform/Isoamyl Alcohol (25:24:1 ratio) stored under TE buffer, pH 8</w:t>
      </w:r>
    </w:p>
    <w:p w14:paraId="614AAF89" w14:textId="77777777" w:rsidR="00E1612B" w:rsidRDefault="00E1612B" w:rsidP="00E1612B">
      <w:pPr>
        <w:shd w:val="clear" w:color="auto" w:fill="FFFFFF"/>
        <w:spacing w:before="75" w:after="75" w:line="240" w:lineRule="auto"/>
        <w:outlineLvl w:val="2"/>
        <w:rPr>
          <w:rFonts w:eastAsia="Times New Roman" w:cs="Times New Roman"/>
          <w:caps/>
          <w:sz w:val="22"/>
          <w:szCs w:val="22"/>
        </w:rPr>
      </w:pPr>
      <w:r>
        <w:rPr>
          <w:rFonts w:eastAsia="Times New Roman" w:cs="Times New Roman"/>
          <w:caps/>
          <w:sz w:val="22"/>
          <w:szCs w:val="22"/>
        </w:rPr>
        <w:t>METHOD</w:t>
      </w:r>
    </w:p>
    <w:p w14:paraId="093CFA9B" w14:textId="77777777" w:rsidR="00E1612B" w:rsidRDefault="00E1612B" w:rsidP="00E1612B">
      <w:pPr>
        <w:shd w:val="clear" w:color="auto" w:fill="FFFFFF"/>
        <w:spacing w:before="240" w:after="240" w:line="240" w:lineRule="auto"/>
        <w:jc w:val="both"/>
        <w:rPr>
          <w:rFonts w:eastAsia="Times New Roman" w:cs="Times New Roman"/>
          <w:sz w:val="22"/>
          <w:szCs w:val="22"/>
        </w:rPr>
      </w:pPr>
      <w:r>
        <w:rPr>
          <w:rFonts w:eastAsia="Times New Roman" w:cs="Times New Roman"/>
          <w:sz w:val="22"/>
          <w:szCs w:val="22"/>
        </w:rPr>
        <w:t>Plant samples can be prepared by cryogenically grinding tissue in a mortar and pestle after chilling in liquid nitrogen. Freeze dried plants can be ground at room temperature. In either case, a fine powder is best for extracting DNA.</w:t>
      </w:r>
    </w:p>
    <w:p w14:paraId="0366CC00"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Transfer the ground plant tissue to a polypropylene tube.</w:t>
      </w:r>
    </w:p>
    <w:p w14:paraId="19ACDE9D"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For every 100 mg of homogenized tissue add 500 µl of CTAB Buffer. Mix and thoroughly vortex.</w:t>
      </w:r>
    </w:p>
    <w:p w14:paraId="17E4F2DF"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lastRenderedPageBreak/>
        <w:t>Place the tube in a 60°C water bath for 30 minutes.</w:t>
      </w:r>
    </w:p>
    <w:p w14:paraId="45461394"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Centrifuge the homogenate for 5 minutes at 14,000 x g.</w:t>
      </w:r>
    </w:p>
    <w:p w14:paraId="2C69E1F1"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Transfer supernatant to a new tube.</w:t>
      </w:r>
    </w:p>
    <w:p w14:paraId="750DB7D5"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Add 5 µl of RNase A solution and incubate at 37°C for 20 minutes.</w:t>
      </w:r>
    </w:p>
    <w:p w14:paraId="2A526C0D" w14:textId="77777777" w:rsidR="00E1612B" w:rsidRDefault="00E1612B" w:rsidP="00E1612B">
      <w:pPr>
        <w:numPr>
          <w:ilvl w:val="0"/>
          <w:numId w:val="2"/>
        </w:numPr>
        <w:shd w:val="clear" w:color="auto" w:fill="FFFFFF"/>
        <w:spacing w:before="100" w:beforeAutospacing="1" w:after="100" w:afterAutospacing="1" w:line="240" w:lineRule="auto"/>
        <w:jc w:val="both"/>
        <w:rPr>
          <w:rFonts w:eastAsia="Times New Roman" w:cs="Times New Roman"/>
          <w:sz w:val="22"/>
          <w:szCs w:val="22"/>
        </w:rPr>
      </w:pPr>
      <w:r>
        <w:rPr>
          <w:rFonts w:eastAsia="Times New Roman" w:cs="Times New Roman"/>
          <w:sz w:val="22"/>
          <w:szCs w:val="22"/>
        </w:rPr>
        <w:t>Add an equal volume of phenol/chloroform/isoamyl alcohol (25:24:1).</w:t>
      </w:r>
    </w:p>
    <w:p w14:paraId="37080A5C"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Vortex for 5 seconds then centrifuge the sample for 1 minute at 14,000 x g to separate the phases.</w:t>
      </w:r>
    </w:p>
    <w:p w14:paraId="4A824AE1"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Transfer the aqueous upper phase to a new tube. Repeat this extraction until the upper phase is clear.</w:t>
      </w:r>
    </w:p>
    <w:p w14:paraId="037F8351"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Transfer the upper aqueous phase to a new tube.</w:t>
      </w:r>
    </w:p>
    <w:p w14:paraId="4DDD6B47"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Add 0.7 volume cold isopropanol and incubate at -20°C for 15 minutes to precipitate the DNA.</w:t>
      </w:r>
    </w:p>
    <w:p w14:paraId="42696D1E"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Centrifuge the sample at 14,000 x g for 10 minutes.</w:t>
      </w:r>
    </w:p>
    <w:p w14:paraId="618BE812"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Decant the supernatant without disturbing the pellet and subsequently wash with 500 µl ice cold 70% ethanol.</w:t>
      </w:r>
    </w:p>
    <w:p w14:paraId="4F52E204"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Decant the ethanol. Remove the residual ethanol by drying in a SpeedVac.</w:t>
      </w:r>
    </w:p>
    <w:p w14:paraId="39B58760"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Dry the pellet long enough to remove alcohol, but without completely drying the DNA.</w:t>
      </w:r>
    </w:p>
    <w:p w14:paraId="04173223" w14:textId="77777777" w:rsidR="00E1612B" w:rsidRDefault="00E1612B" w:rsidP="00E1612B">
      <w:pPr>
        <w:numPr>
          <w:ilvl w:val="0"/>
          <w:numId w:val="2"/>
        </w:numPr>
        <w:shd w:val="clear" w:color="auto" w:fill="FFFFFF"/>
        <w:spacing w:before="15" w:after="15" w:line="315" w:lineRule="atLeast"/>
        <w:jc w:val="both"/>
        <w:rPr>
          <w:rFonts w:eastAsia="Times New Roman" w:cs="Times New Roman"/>
          <w:sz w:val="22"/>
          <w:szCs w:val="22"/>
        </w:rPr>
      </w:pPr>
      <w:r>
        <w:rPr>
          <w:rFonts w:eastAsia="Times New Roman" w:cs="Times New Roman"/>
          <w:sz w:val="22"/>
          <w:szCs w:val="22"/>
        </w:rPr>
        <w:t xml:space="preserve">Dissolve the DNA pellet in 20 µl TE buffer (10 mM Tris, pH 8, 1 mM EDTA). The pellet may need to be warmed, </w:t>
      </w:r>
      <w:proofErr w:type="gramStart"/>
      <w:r>
        <w:rPr>
          <w:rFonts w:eastAsia="Times New Roman" w:cs="Times New Roman"/>
          <w:sz w:val="22"/>
          <w:szCs w:val="22"/>
        </w:rPr>
        <w:t>in order to</w:t>
      </w:r>
      <w:proofErr w:type="gramEnd"/>
      <w:r>
        <w:rPr>
          <w:rFonts w:eastAsia="Times New Roman" w:cs="Times New Roman"/>
          <w:sz w:val="22"/>
          <w:szCs w:val="22"/>
        </w:rPr>
        <w:t xml:space="preserve"> dissolve.</w:t>
      </w:r>
    </w:p>
    <w:p w14:paraId="08EB2E67" w14:textId="77777777" w:rsidR="00E1612B" w:rsidRDefault="00E1612B" w:rsidP="00E1612B">
      <w:pPr>
        <w:shd w:val="clear" w:color="auto" w:fill="FFFFFF"/>
        <w:spacing w:before="75" w:after="75" w:line="240" w:lineRule="auto"/>
        <w:outlineLvl w:val="2"/>
        <w:rPr>
          <w:rFonts w:eastAsia="Times New Roman" w:cs="Times New Roman"/>
          <w:caps/>
          <w:sz w:val="22"/>
          <w:szCs w:val="22"/>
        </w:rPr>
      </w:pPr>
      <w:r>
        <w:rPr>
          <w:rFonts w:eastAsia="Times New Roman" w:cs="Times New Roman"/>
          <w:caps/>
          <w:sz w:val="22"/>
          <w:szCs w:val="22"/>
        </w:rPr>
        <w:t>OPTIONAL PROTOCOL:</w:t>
      </w:r>
    </w:p>
    <w:p w14:paraId="415FD60C" w14:textId="77777777" w:rsidR="00E1612B" w:rsidRDefault="00E1612B" w:rsidP="00E1612B">
      <w:pPr>
        <w:shd w:val="clear" w:color="auto" w:fill="FFFFFF"/>
        <w:spacing w:before="240" w:after="240" w:line="240" w:lineRule="auto"/>
        <w:jc w:val="both"/>
        <w:rPr>
          <w:rFonts w:eastAsia="Times New Roman" w:cs="Times New Roman"/>
          <w:sz w:val="22"/>
          <w:szCs w:val="22"/>
        </w:rPr>
      </w:pPr>
      <w:hyperlink r:id="rId10" w:history="1">
        <w:r>
          <w:rPr>
            <w:rStyle w:val="a3"/>
            <w:rFonts w:eastAsia="Times New Roman" w:cs="Times New Roman"/>
            <w:color w:val="auto"/>
            <w:sz w:val="22"/>
            <w:szCs w:val="22"/>
            <w:shd w:val="clear" w:color="auto" w:fill="FFFFFF"/>
          </w:rPr>
          <w:t>Protocol </w:t>
        </w:r>
      </w:hyperlink>
      <w:r>
        <w:rPr>
          <w:rFonts w:eastAsia="Times New Roman" w:cs="Times New Roman"/>
          <w:sz w:val="22"/>
          <w:szCs w:val="22"/>
        </w:rPr>
        <w:t>for higher quality DNA, using silica spin columns to further purify the DNA.</w:t>
      </w:r>
    </w:p>
    <w:p w14:paraId="74C005E0" w14:textId="77777777" w:rsidR="00E1612B" w:rsidRPr="00A76416" w:rsidRDefault="00E1612B" w:rsidP="00F952F7">
      <w:pPr>
        <w:spacing w:after="100" w:afterAutospacing="1" w:line="240" w:lineRule="auto"/>
        <w:ind w:left="57" w:right="57"/>
        <w:rPr>
          <w:rFonts w:cs="Times New Roman"/>
          <w:bCs/>
          <w:sz w:val="22"/>
          <w:szCs w:val="22"/>
        </w:rPr>
      </w:pPr>
    </w:p>
    <w:p w14:paraId="2A43D751" w14:textId="77777777" w:rsidR="00A76416" w:rsidRPr="00A76416" w:rsidRDefault="00A76416" w:rsidP="00F952F7">
      <w:pPr>
        <w:spacing w:after="100" w:afterAutospacing="1" w:line="240" w:lineRule="auto"/>
        <w:ind w:left="57" w:right="57"/>
        <w:rPr>
          <w:rFonts w:cs="Times New Roman"/>
          <w:b/>
          <w:bCs/>
          <w:sz w:val="22"/>
          <w:szCs w:val="22"/>
        </w:rPr>
      </w:pPr>
      <w:r w:rsidRPr="00A76416">
        <w:rPr>
          <w:rFonts w:cs="Times New Roman"/>
          <w:b/>
          <w:bCs/>
          <w:sz w:val="22"/>
          <w:szCs w:val="22"/>
        </w:rPr>
        <w:t>DNA extraction methods using silica and silica matrices</w:t>
      </w:r>
    </w:p>
    <w:p w14:paraId="07A81113" w14:textId="3E7774A3" w:rsidR="00A76416" w:rsidRDefault="00A76416" w:rsidP="00F952F7">
      <w:pPr>
        <w:spacing w:after="100" w:afterAutospacing="1" w:line="240" w:lineRule="auto"/>
        <w:ind w:left="57" w:right="57"/>
        <w:rPr>
          <w:rFonts w:cs="Times New Roman"/>
          <w:bCs/>
          <w:sz w:val="22"/>
          <w:szCs w:val="22"/>
        </w:rPr>
      </w:pPr>
      <w:r w:rsidRPr="00A76416">
        <w:rPr>
          <w:rFonts w:cs="Times New Roman"/>
          <w:bCs/>
          <w:sz w:val="22"/>
          <w:szCs w:val="22"/>
        </w:rPr>
        <w:t>Silica matrices have unique properties for DNA binding. They are positively charged and have high affinity toward the negative charge of the DNA backbone. High salt conditions and pH are achieved using sodium cations, which bind tightly to the negatively charged oxygen in the phosphate backbone of DNA. Contaminants are removed with a series of washing steps, followed by DNA elution under low ionic strength (pH ≥7) using TE buffer or sterile distilled water.A substance that contains high amounts of silica (up to 94%) known as kieselguhr, diatomite, or diatomaceous earth has also been used for DNA purification.</w:t>
      </w:r>
    </w:p>
    <w:p w14:paraId="07C26D28" w14:textId="77777777" w:rsidR="0040495B" w:rsidRPr="00A76416" w:rsidRDefault="0040495B" w:rsidP="00F952F7">
      <w:pPr>
        <w:spacing w:after="100" w:afterAutospacing="1" w:line="240" w:lineRule="auto"/>
        <w:ind w:left="57" w:right="57"/>
        <w:rPr>
          <w:rFonts w:cs="Times New Roman"/>
          <w:bCs/>
          <w:sz w:val="22"/>
          <w:szCs w:val="22"/>
        </w:rPr>
      </w:pPr>
    </w:p>
    <w:p w14:paraId="03961E15" w14:textId="77777777" w:rsidR="00AA6743" w:rsidRPr="00AA6743" w:rsidRDefault="00AA6743" w:rsidP="00F952F7">
      <w:pPr>
        <w:shd w:val="clear" w:color="auto" w:fill="FFFFFF"/>
        <w:spacing w:after="100" w:afterAutospacing="1" w:line="240" w:lineRule="auto"/>
        <w:ind w:left="57" w:right="57"/>
        <w:outlineLvl w:val="2"/>
        <w:rPr>
          <w:rFonts w:eastAsia="Times New Roman" w:cs="Times New Roman"/>
          <w:i/>
          <w:iCs/>
          <w:spacing w:val="-2"/>
          <w:sz w:val="22"/>
          <w:szCs w:val="22"/>
        </w:rPr>
      </w:pPr>
      <w:r w:rsidRPr="00AA6743">
        <w:rPr>
          <w:rFonts w:cs="Times New Roman"/>
          <w:b/>
          <w:sz w:val="22"/>
          <w:szCs w:val="22"/>
        </w:rPr>
        <w:t xml:space="preserve">Lab. work 3 </w:t>
      </w:r>
      <w:r w:rsidRPr="00AA6743">
        <w:rPr>
          <w:rFonts w:eastAsia="Times New Roman" w:cs="Times New Roman"/>
          <w:i/>
          <w:iCs/>
          <w:spacing w:val="-2"/>
          <w:sz w:val="22"/>
          <w:szCs w:val="22"/>
        </w:rPr>
        <w:t xml:space="preserve">Construction of recombinant DNA. </w:t>
      </w:r>
    </w:p>
    <w:p w14:paraId="35C799C4" w14:textId="10FB0F05"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Creation of GM DNA</w:t>
      </w:r>
      <w:r>
        <w:rPr>
          <w:rFonts w:eastAsia="Times New Roman" w:cs="Times New Roman"/>
          <w:spacing w:val="-2"/>
          <w:sz w:val="22"/>
          <w:szCs w:val="22"/>
        </w:rPr>
        <w:t xml:space="preserve"> </w:t>
      </w:r>
      <w:r w:rsidRPr="00AA6743">
        <w:rPr>
          <w:rFonts w:eastAsia="Times New Roman" w:cs="Times New Roman"/>
          <w:spacing w:val="-2"/>
          <w:sz w:val="22"/>
          <w:szCs w:val="22"/>
        </w:rPr>
        <w:t>is a complex multi-step process. You should know that before</w:t>
      </w:r>
    </w:p>
    <w:p w14:paraId="164CD341" w14:textId="77777777" w:rsid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DNA will be constructed that carry the necessary for transfer</w:t>
      </w:r>
      <w:r>
        <w:rPr>
          <w:rFonts w:eastAsia="Times New Roman" w:cs="Times New Roman"/>
          <w:spacing w:val="-2"/>
          <w:sz w:val="22"/>
          <w:szCs w:val="22"/>
        </w:rPr>
        <w:t xml:space="preserve"> </w:t>
      </w:r>
      <w:r w:rsidRPr="00AA6743">
        <w:rPr>
          <w:rFonts w:eastAsia="Times New Roman" w:cs="Times New Roman"/>
          <w:spacing w:val="-2"/>
          <w:sz w:val="22"/>
          <w:szCs w:val="22"/>
        </w:rPr>
        <w:t>genetic information, it is necessary to search for organisms, sources of target genes. Having decided on the donor organism, from it</w:t>
      </w:r>
      <w:r>
        <w:rPr>
          <w:rFonts w:eastAsia="Times New Roman" w:cs="Times New Roman"/>
          <w:spacing w:val="-2"/>
          <w:sz w:val="22"/>
          <w:szCs w:val="22"/>
        </w:rPr>
        <w:t xml:space="preserve"> </w:t>
      </w:r>
      <w:r w:rsidRPr="00AA6743">
        <w:rPr>
          <w:rFonts w:eastAsia="Times New Roman" w:cs="Times New Roman"/>
          <w:spacing w:val="-2"/>
          <w:sz w:val="22"/>
          <w:szCs w:val="22"/>
        </w:rPr>
        <w:t xml:space="preserve">DNA carrying the target gene is recovered. </w:t>
      </w:r>
    </w:p>
    <w:p w14:paraId="0B9E8455" w14:textId="7168D5BF"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The researcher must be aware</w:t>
      </w:r>
      <w:r>
        <w:rPr>
          <w:rFonts w:eastAsia="Times New Roman" w:cs="Times New Roman"/>
          <w:spacing w:val="-2"/>
          <w:sz w:val="22"/>
          <w:szCs w:val="22"/>
        </w:rPr>
        <w:t xml:space="preserve"> </w:t>
      </w:r>
      <w:r w:rsidRPr="00AA6743">
        <w:rPr>
          <w:rFonts w:eastAsia="Times New Roman" w:cs="Times New Roman"/>
          <w:spacing w:val="-2"/>
          <w:sz w:val="22"/>
          <w:szCs w:val="22"/>
        </w:rPr>
        <w:t>gene characteristics, specific recognition sites in its structure,</w:t>
      </w:r>
    </w:p>
    <w:p w14:paraId="5B476AF2" w14:textId="77777777"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allowing "cut" it from DNA. "Cutting out" of genes is carried out</w:t>
      </w:r>
    </w:p>
    <w:p w14:paraId="5DDEBD59" w14:textId="77777777"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with the participation of enzymes of type II restriction endonucleases (restriction enzymes).</w:t>
      </w:r>
    </w:p>
    <w:p w14:paraId="7D45EC7E" w14:textId="77777777" w:rsid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The student should be familiar with several basic types of restrictases used</w:t>
      </w:r>
      <w:r>
        <w:rPr>
          <w:rFonts w:eastAsia="Times New Roman" w:cs="Times New Roman"/>
          <w:spacing w:val="-2"/>
          <w:sz w:val="22"/>
          <w:szCs w:val="22"/>
        </w:rPr>
        <w:t xml:space="preserve"> </w:t>
      </w:r>
      <w:r w:rsidRPr="00AA6743">
        <w:rPr>
          <w:rFonts w:eastAsia="Times New Roman" w:cs="Times New Roman"/>
          <w:spacing w:val="-2"/>
          <w:sz w:val="22"/>
          <w:szCs w:val="22"/>
        </w:rPr>
        <w:t xml:space="preserve">to create GMOs: Eco RI, HpaI, HpaII, Bam HI, PstI NotI and others. </w:t>
      </w:r>
    </w:p>
    <w:p w14:paraId="0DBEE9BB" w14:textId="7D947E52"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lastRenderedPageBreak/>
        <w:t>DNA-</w:t>
      </w:r>
      <w:r>
        <w:rPr>
          <w:rFonts w:eastAsia="Times New Roman" w:cs="Times New Roman"/>
          <w:spacing w:val="-2"/>
          <w:sz w:val="22"/>
          <w:szCs w:val="22"/>
        </w:rPr>
        <w:t xml:space="preserve"> </w:t>
      </w:r>
      <w:r w:rsidRPr="00AA6743">
        <w:rPr>
          <w:rFonts w:eastAsia="Times New Roman" w:cs="Times New Roman"/>
          <w:spacing w:val="-2"/>
          <w:sz w:val="22"/>
          <w:szCs w:val="22"/>
        </w:rPr>
        <w:t>T4 ligase is another important enzyme that provides stable</w:t>
      </w:r>
      <w:r>
        <w:rPr>
          <w:rFonts w:eastAsia="Times New Roman" w:cs="Times New Roman"/>
          <w:spacing w:val="-2"/>
          <w:sz w:val="22"/>
          <w:szCs w:val="22"/>
        </w:rPr>
        <w:t xml:space="preserve"> </w:t>
      </w:r>
      <w:r w:rsidRPr="00AA6743">
        <w:rPr>
          <w:rFonts w:eastAsia="Times New Roman" w:cs="Times New Roman"/>
          <w:spacing w:val="-2"/>
          <w:sz w:val="22"/>
          <w:szCs w:val="22"/>
        </w:rPr>
        <w:t>DNA double strand structure and target sequence crosslinking</w:t>
      </w:r>
      <w:r>
        <w:rPr>
          <w:rFonts w:eastAsia="Times New Roman" w:cs="Times New Roman"/>
          <w:spacing w:val="-2"/>
          <w:sz w:val="22"/>
          <w:szCs w:val="22"/>
        </w:rPr>
        <w:t xml:space="preserve"> </w:t>
      </w:r>
      <w:r w:rsidRPr="00AA6743">
        <w:rPr>
          <w:rFonts w:eastAsia="Times New Roman" w:cs="Times New Roman"/>
          <w:spacing w:val="-2"/>
          <w:sz w:val="22"/>
          <w:szCs w:val="22"/>
        </w:rPr>
        <w:t>nucleotides with the vector.</w:t>
      </w:r>
    </w:p>
    <w:p w14:paraId="44F3047E" w14:textId="168E01B3"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i/>
          <w:iCs/>
          <w:spacing w:val="-2"/>
          <w:sz w:val="22"/>
          <w:szCs w:val="22"/>
        </w:rPr>
        <w:t>Choice of cloning vector (gene transfer)</w:t>
      </w:r>
      <w:r w:rsidRPr="00AA6743">
        <w:rPr>
          <w:rFonts w:eastAsia="Times New Roman" w:cs="Times New Roman"/>
          <w:spacing w:val="-2"/>
          <w:sz w:val="22"/>
          <w:szCs w:val="22"/>
        </w:rPr>
        <w:t xml:space="preserve"> – next</w:t>
      </w:r>
      <w:r>
        <w:rPr>
          <w:rFonts w:eastAsia="Times New Roman" w:cs="Times New Roman"/>
          <w:spacing w:val="-2"/>
          <w:sz w:val="22"/>
          <w:szCs w:val="22"/>
        </w:rPr>
        <w:t xml:space="preserve"> </w:t>
      </w:r>
      <w:r w:rsidRPr="00AA6743">
        <w:rPr>
          <w:rFonts w:eastAsia="Times New Roman" w:cs="Times New Roman"/>
          <w:spacing w:val="-2"/>
          <w:sz w:val="22"/>
          <w:szCs w:val="22"/>
        </w:rPr>
        <w:t>an important step in the creation of recombinant DNA. It should be emphasized that</w:t>
      </w:r>
      <w:r>
        <w:rPr>
          <w:rFonts w:eastAsia="Times New Roman" w:cs="Times New Roman"/>
          <w:spacing w:val="-2"/>
          <w:sz w:val="22"/>
          <w:szCs w:val="22"/>
        </w:rPr>
        <w:t xml:space="preserve"> </w:t>
      </w:r>
      <w:r w:rsidRPr="00AA6743">
        <w:rPr>
          <w:rFonts w:eastAsia="Times New Roman" w:cs="Times New Roman"/>
          <w:spacing w:val="-2"/>
          <w:sz w:val="22"/>
          <w:szCs w:val="22"/>
        </w:rPr>
        <w:t>vectors serve both to transfer the target gene into the organism being exposed</w:t>
      </w:r>
    </w:p>
    <w:p w14:paraId="3A001C5B" w14:textId="77777777"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transgenosis (host organism), and for replication in the cell of the organism -</w:t>
      </w:r>
    </w:p>
    <w:p w14:paraId="22847310" w14:textId="77777777" w:rsid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 xml:space="preserve">recombinant DNA host. </w:t>
      </w:r>
    </w:p>
    <w:p w14:paraId="3D8C2A66" w14:textId="454FB52C"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Therefore, the cloning vector must</w:t>
      </w:r>
      <w:r>
        <w:rPr>
          <w:rFonts w:eastAsia="Times New Roman" w:cs="Times New Roman"/>
          <w:spacing w:val="-2"/>
          <w:sz w:val="22"/>
          <w:szCs w:val="22"/>
        </w:rPr>
        <w:t xml:space="preserve"> </w:t>
      </w:r>
      <w:r w:rsidRPr="00AA6743">
        <w:rPr>
          <w:rFonts w:eastAsia="Times New Roman" w:cs="Times New Roman"/>
          <w:spacing w:val="-2"/>
          <w:sz w:val="22"/>
          <w:szCs w:val="22"/>
        </w:rPr>
        <w:t>contain elements of replicative systems. Currently for</w:t>
      </w:r>
      <w:r>
        <w:rPr>
          <w:rFonts w:eastAsia="Times New Roman" w:cs="Times New Roman"/>
          <w:spacing w:val="-2"/>
          <w:sz w:val="22"/>
          <w:szCs w:val="22"/>
        </w:rPr>
        <w:t xml:space="preserve"> </w:t>
      </w:r>
      <w:r w:rsidRPr="00AA6743">
        <w:rPr>
          <w:rFonts w:eastAsia="Times New Roman" w:cs="Times New Roman"/>
          <w:spacing w:val="-2"/>
          <w:sz w:val="22"/>
          <w:szCs w:val="22"/>
        </w:rPr>
        <w:t>transgenesis uses different types of vectors, for example: bacterial</w:t>
      </w:r>
      <w:r>
        <w:rPr>
          <w:rFonts w:eastAsia="Times New Roman" w:cs="Times New Roman"/>
          <w:spacing w:val="-2"/>
          <w:sz w:val="22"/>
          <w:szCs w:val="22"/>
        </w:rPr>
        <w:t xml:space="preserve"> </w:t>
      </w:r>
      <w:r w:rsidRPr="00AA6743">
        <w:rPr>
          <w:rFonts w:eastAsia="Times New Roman" w:cs="Times New Roman"/>
          <w:spacing w:val="-2"/>
          <w:sz w:val="22"/>
          <w:szCs w:val="22"/>
        </w:rPr>
        <w:t>plasmids (pBR 322, pUC 19, Ti and Ri plasmids of agrobacteria, etc.) viruses</w:t>
      </w:r>
      <w:r>
        <w:rPr>
          <w:rFonts w:eastAsia="Times New Roman" w:cs="Times New Roman"/>
          <w:spacing w:val="-2"/>
          <w:sz w:val="22"/>
          <w:szCs w:val="22"/>
        </w:rPr>
        <w:t xml:space="preserve"> </w:t>
      </w:r>
      <w:r w:rsidRPr="00AA6743">
        <w:rPr>
          <w:rFonts w:eastAsia="Times New Roman" w:cs="Times New Roman"/>
          <w:spacing w:val="-2"/>
          <w:sz w:val="22"/>
          <w:szCs w:val="22"/>
        </w:rPr>
        <w:t>(bacteriophage ?), cosmids (vectors combining features of plasmids and phage ?),</w:t>
      </w:r>
    </w:p>
    <w:p w14:paraId="454356E2" w14:textId="77777777"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chimeric constructs (plasmid vector based on P1 phage),</w:t>
      </w:r>
    </w:p>
    <w:p w14:paraId="23E232B2" w14:textId="77777777" w:rsid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 xml:space="preserve">artificial bacterial chromosome (BAC) and others. </w:t>
      </w:r>
    </w:p>
    <w:p w14:paraId="79947EA6" w14:textId="541F2291" w:rsidR="00AA6743" w:rsidRPr="00A766C6" w:rsidRDefault="00AA6743" w:rsidP="00F952F7">
      <w:pPr>
        <w:shd w:val="clear" w:color="auto" w:fill="FFFFFF"/>
        <w:spacing w:after="100" w:afterAutospacing="1" w:line="240" w:lineRule="auto"/>
        <w:ind w:left="57" w:right="57"/>
        <w:outlineLvl w:val="2"/>
        <w:rPr>
          <w:rFonts w:eastAsia="Times New Roman" w:cs="Times New Roman"/>
          <w:i/>
          <w:iCs/>
          <w:spacing w:val="-2"/>
          <w:sz w:val="22"/>
          <w:szCs w:val="22"/>
        </w:rPr>
      </w:pPr>
      <w:r w:rsidRPr="00A766C6">
        <w:rPr>
          <w:rFonts w:eastAsia="Times New Roman" w:cs="Times New Roman"/>
          <w:i/>
          <w:iCs/>
          <w:spacing w:val="-2"/>
          <w:sz w:val="22"/>
          <w:szCs w:val="22"/>
        </w:rPr>
        <w:t>Special attention</w:t>
      </w:r>
      <w:r w:rsidR="00A766C6">
        <w:rPr>
          <w:rFonts w:eastAsia="Times New Roman" w:cs="Times New Roman"/>
          <w:i/>
          <w:iCs/>
          <w:spacing w:val="-2"/>
          <w:sz w:val="22"/>
          <w:szCs w:val="22"/>
        </w:rPr>
        <w:t xml:space="preserve"> </w:t>
      </w:r>
      <w:r w:rsidRPr="00AA6743">
        <w:rPr>
          <w:rFonts w:eastAsia="Times New Roman" w:cs="Times New Roman"/>
          <w:spacing w:val="-2"/>
          <w:sz w:val="22"/>
          <w:szCs w:val="22"/>
        </w:rPr>
        <w:t>should be given to Ti and Ri plasmids of agrobacteria, which are</w:t>
      </w:r>
      <w:r w:rsidR="00A766C6">
        <w:rPr>
          <w:rFonts w:eastAsia="Times New Roman" w:cs="Times New Roman"/>
          <w:i/>
          <w:iCs/>
          <w:spacing w:val="-2"/>
          <w:sz w:val="22"/>
          <w:szCs w:val="22"/>
        </w:rPr>
        <w:t xml:space="preserve"> </w:t>
      </w:r>
      <w:r w:rsidRPr="00AA6743">
        <w:rPr>
          <w:rFonts w:eastAsia="Times New Roman" w:cs="Times New Roman"/>
          <w:spacing w:val="-2"/>
          <w:sz w:val="22"/>
          <w:szCs w:val="22"/>
        </w:rPr>
        <w:t>the main type of vectors for creating GM plants. The student must</w:t>
      </w:r>
      <w:r w:rsidR="00A766C6">
        <w:rPr>
          <w:rFonts w:eastAsia="Times New Roman" w:cs="Times New Roman"/>
          <w:i/>
          <w:iCs/>
          <w:spacing w:val="-2"/>
          <w:sz w:val="22"/>
          <w:szCs w:val="22"/>
        </w:rPr>
        <w:t xml:space="preserve"> </w:t>
      </w:r>
      <w:r w:rsidRPr="00AA6743">
        <w:rPr>
          <w:rFonts w:eastAsia="Times New Roman" w:cs="Times New Roman"/>
          <w:spacing w:val="-2"/>
          <w:sz w:val="22"/>
          <w:szCs w:val="22"/>
        </w:rPr>
        <w:t>represent the structure of nopaline and octopine agrobacterial</w:t>
      </w:r>
    </w:p>
    <w:p w14:paraId="1FA9AE72" w14:textId="08FD4D24" w:rsidR="00AA6743" w:rsidRPr="00AA6743"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plasmid, T-DNA region device, characterize agrobacterial</w:t>
      </w:r>
      <w:r w:rsidR="00A766C6">
        <w:rPr>
          <w:rFonts w:eastAsia="Times New Roman" w:cs="Times New Roman"/>
          <w:spacing w:val="-2"/>
          <w:sz w:val="22"/>
          <w:szCs w:val="22"/>
        </w:rPr>
        <w:t xml:space="preserve"> </w:t>
      </w:r>
      <w:r w:rsidRPr="00AA6743">
        <w:rPr>
          <w:rFonts w:eastAsia="Times New Roman" w:cs="Times New Roman"/>
          <w:spacing w:val="-2"/>
          <w:sz w:val="22"/>
          <w:szCs w:val="22"/>
        </w:rPr>
        <w:t>oncogenes, virulence region, conjugative transfer genes, region</w:t>
      </w:r>
      <w:r w:rsidR="00A766C6">
        <w:rPr>
          <w:rFonts w:eastAsia="Times New Roman" w:cs="Times New Roman"/>
          <w:spacing w:val="-2"/>
          <w:sz w:val="22"/>
          <w:szCs w:val="22"/>
        </w:rPr>
        <w:t xml:space="preserve"> </w:t>
      </w:r>
      <w:r w:rsidRPr="00AA6743">
        <w:rPr>
          <w:rFonts w:eastAsia="Times New Roman" w:cs="Times New Roman"/>
          <w:spacing w:val="-2"/>
          <w:sz w:val="22"/>
          <w:szCs w:val="22"/>
        </w:rPr>
        <w:t>replication.</w:t>
      </w:r>
    </w:p>
    <w:p w14:paraId="65D45256" w14:textId="66B3A70D" w:rsidR="00A766C6" w:rsidRPr="00A766C6" w:rsidRDefault="00AA6743"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pacing w:val="-2"/>
          <w:sz w:val="22"/>
          <w:szCs w:val="22"/>
        </w:rPr>
        <w:t>The target gene must not only be transferred into the host cell, but also</w:t>
      </w:r>
      <w:r w:rsidR="00A766C6">
        <w:rPr>
          <w:rFonts w:eastAsia="Times New Roman" w:cs="Times New Roman"/>
          <w:spacing w:val="-2"/>
          <w:sz w:val="22"/>
          <w:szCs w:val="22"/>
        </w:rPr>
        <w:t xml:space="preserve"> </w:t>
      </w:r>
      <w:r w:rsidRPr="00AA6743">
        <w:rPr>
          <w:rFonts w:eastAsia="Times New Roman" w:cs="Times New Roman"/>
          <w:spacing w:val="-2"/>
          <w:sz w:val="22"/>
          <w:szCs w:val="22"/>
        </w:rPr>
        <w:t>be expressed in it. To achieve efficient expression</w:t>
      </w:r>
      <w:r w:rsidR="00A766C6">
        <w:rPr>
          <w:rFonts w:eastAsia="Times New Roman" w:cs="Times New Roman"/>
          <w:spacing w:val="-2"/>
          <w:sz w:val="22"/>
          <w:szCs w:val="22"/>
        </w:rPr>
        <w:t xml:space="preserve"> </w:t>
      </w:r>
      <w:r w:rsidRPr="00AA6743">
        <w:rPr>
          <w:rFonts w:eastAsia="Times New Roman" w:cs="Times New Roman"/>
          <w:spacing w:val="-2"/>
          <w:sz w:val="22"/>
          <w:szCs w:val="22"/>
        </w:rPr>
        <w:t>vector constructs must contain additional genetic</w:t>
      </w:r>
      <w:r w:rsidR="00A766C6">
        <w:rPr>
          <w:rFonts w:eastAsia="Times New Roman" w:cs="Times New Roman"/>
          <w:spacing w:val="-2"/>
          <w:sz w:val="22"/>
          <w:szCs w:val="22"/>
        </w:rPr>
        <w:t xml:space="preserve"> </w:t>
      </w:r>
      <w:r w:rsidR="00A766C6" w:rsidRPr="00A766C6">
        <w:rPr>
          <w:rFonts w:eastAsia="Times New Roman" w:cs="Times New Roman"/>
          <w:spacing w:val="-2"/>
          <w:sz w:val="22"/>
          <w:szCs w:val="22"/>
        </w:rPr>
        <w:t>elements that control transcription and translation, such as strong</w:t>
      </w:r>
      <w:r w:rsidR="00A766C6">
        <w:rPr>
          <w:rFonts w:eastAsia="Times New Roman" w:cs="Times New Roman"/>
          <w:spacing w:val="-2"/>
          <w:sz w:val="22"/>
          <w:szCs w:val="22"/>
        </w:rPr>
        <w:t xml:space="preserve"> </w:t>
      </w:r>
      <w:r w:rsidR="00A766C6" w:rsidRPr="00A766C6">
        <w:rPr>
          <w:rFonts w:eastAsia="Times New Roman" w:cs="Times New Roman"/>
          <w:spacing w:val="-2"/>
          <w:sz w:val="22"/>
          <w:szCs w:val="22"/>
        </w:rPr>
        <w:t>a promoter (eg, lac, trp, tac, 35S, etc.); and a transcription terminator.</w:t>
      </w:r>
    </w:p>
    <w:p w14:paraId="1A20DF47" w14:textId="77777777" w:rsidR="00A766C6" w:rsidRDefault="00A766C6" w:rsidP="00F952F7">
      <w:pPr>
        <w:shd w:val="clear" w:color="auto" w:fill="FFFFFF"/>
        <w:spacing w:after="100" w:afterAutospacing="1" w:line="240" w:lineRule="auto"/>
        <w:ind w:left="57" w:right="57" w:firstLine="720"/>
        <w:outlineLvl w:val="2"/>
        <w:rPr>
          <w:rFonts w:eastAsia="Times New Roman" w:cs="Times New Roman"/>
          <w:spacing w:val="-2"/>
          <w:sz w:val="22"/>
          <w:szCs w:val="22"/>
        </w:rPr>
      </w:pPr>
      <w:r w:rsidRPr="00A766C6">
        <w:rPr>
          <w:rFonts w:eastAsia="Times New Roman" w:cs="Times New Roman"/>
          <w:spacing w:val="-2"/>
          <w:sz w:val="22"/>
          <w:szCs w:val="22"/>
        </w:rPr>
        <w:t>In addition, it is important to ensure the stability of proteins and their secretion in</w:t>
      </w:r>
      <w:r>
        <w:rPr>
          <w:rFonts w:eastAsia="Times New Roman" w:cs="Times New Roman"/>
          <w:spacing w:val="-2"/>
          <w:sz w:val="22"/>
          <w:szCs w:val="22"/>
        </w:rPr>
        <w:t xml:space="preserve">  </w:t>
      </w:r>
      <w:r w:rsidRPr="00A766C6">
        <w:rPr>
          <w:rFonts w:eastAsia="Times New Roman" w:cs="Times New Roman"/>
          <w:spacing w:val="-2"/>
          <w:sz w:val="22"/>
          <w:szCs w:val="22"/>
        </w:rPr>
        <w:t>host organism. Expression systems must also provide</w:t>
      </w:r>
      <w:r>
        <w:rPr>
          <w:rFonts w:eastAsia="Times New Roman" w:cs="Times New Roman"/>
          <w:spacing w:val="-2"/>
          <w:sz w:val="22"/>
          <w:szCs w:val="22"/>
        </w:rPr>
        <w:t xml:space="preserve"> </w:t>
      </w:r>
      <w:r w:rsidRPr="00A766C6">
        <w:rPr>
          <w:rFonts w:eastAsia="Times New Roman" w:cs="Times New Roman"/>
          <w:spacing w:val="-2"/>
          <w:sz w:val="22"/>
          <w:szCs w:val="22"/>
        </w:rPr>
        <w:t>the strength of mRNA binding to the ribosome, a sufficient number of copies</w:t>
      </w:r>
      <w:r>
        <w:rPr>
          <w:rFonts w:eastAsia="Times New Roman" w:cs="Times New Roman"/>
          <w:spacing w:val="-2"/>
          <w:sz w:val="22"/>
          <w:szCs w:val="22"/>
        </w:rPr>
        <w:t xml:space="preserve"> </w:t>
      </w:r>
      <w:r w:rsidRPr="00A766C6">
        <w:rPr>
          <w:rFonts w:eastAsia="Times New Roman" w:cs="Times New Roman"/>
          <w:spacing w:val="-2"/>
          <w:sz w:val="22"/>
          <w:szCs w:val="22"/>
        </w:rPr>
        <w:t>cloned gene, efficient translation and product stability in</w:t>
      </w:r>
      <w:r>
        <w:rPr>
          <w:rFonts w:eastAsia="Times New Roman" w:cs="Times New Roman"/>
          <w:spacing w:val="-2"/>
          <w:sz w:val="22"/>
          <w:szCs w:val="22"/>
        </w:rPr>
        <w:t xml:space="preserve"> </w:t>
      </w:r>
      <w:r w:rsidRPr="00A766C6">
        <w:rPr>
          <w:rFonts w:eastAsia="Times New Roman" w:cs="Times New Roman"/>
          <w:spacing w:val="-2"/>
          <w:sz w:val="22"/>
          <w:szCs w:val="22"/>
        </w:rPr>
        <w:t xml:space="preserve">host cell. </w:t>
      </w:r>
    </w:p>
    <w:p w14:paraId="12D6DBC7" w14:textId="77777777" w:rsidR="00A766C6" w:rsidRDefault="00A766C6" w:rsidP="00F952F7">
      <w:pPr>
        <w:shd w:val="clear" w:color="auto" w:fill="FFFFFF"/>
        <w:spacing w:after="100" w:afterAutospacing="1" w:line="240" w:lineRule="auto"/>
        <w:ind w:left="57" w:right="57" w:firstLine="720"/>
        <w:outlineLvl w:val="2"/>
        <w:rPr>
          <w:rFonts w:eastAsia="Times New Roman" w:cs="Times New Roman"/>
          <w:spacing w:val="-2"/>
          <w:sz w:val="22"/>
          <w:szCs w:val="22"/>
        </w:rPr>
      </w:pPr>
      <w:r w:rsidRPr="00A766C6">
        <w:rPr>
          <w:rFonts w:eastAsia="Times New Roman" w:cs="Times New Roman"/>
          <w:i/>
          <w:iCs/>
          <w:spacing w:val="-2"/>
          <w:sz w:val="22"/>
          <w:szCs w:val="22"/>
        </w:rPr>
        <w:t>Main types of expression systems</w:t>
      </w:r>
      <w:r w:rsidRPr="00A766C6">
        <w:rPr>
          <w:rFonts w:eastAsia="Times New Roman" w:cs="Times New Roman"/>
          <w:spacing w:val="-2"/>
          <w:sz w:val="22"/>
          <w:szCs w:val="22"/>
        </w:rPr>
        <w:t xml:space="preserve">: </w:t>
      </w:r>
    </w:p>
    <w:p w14:paraId="53FEABC9" w14:textId="77777777" w:rsidR="0040495B" w:rsidRPr="0040495B" w:rsidRDefault="00A766C6" w:rsidP="00F952F7">
      <w:pPr>
        <w:shd w:val="clear" w:color="auto" w:fill="FFFFFF"/>
        <w:spacing w:after="100" w:afterAutospacing="1" w:line="240" w:lineRule="auto"/>
        <w:ind w:left="57" w:right="57" w:firstLine="720"/>
        <w:outlineLvl w:val="2"/>
        <w:rPr>
          <w:rFonts w:eastAsia="Times New Roman" w:cs="Times New Roman"/>
          <w:i/>
          <w:iCs/>
          <w:spacing w:val="-2"/>
          <w:sz w:val="22"/>
          <w:szCs w:val="22"/>
        </w:rPr>
      </w:pPr>
      <w:r w:rsidRPr="0040495B">
        <w:rPr>
          <w:rFonts w:eastAsia="Times New Roman" w:cs="Times New Roman"/>
          <w:i/>
          <w:iCs/>
          <w:spacing w:val="-2"/>
          <w:sz w:val="22"/>
          <w:szCs w:val="22"/>
        </w:rPr>
        <w:t xml:space="preserve">Yeast Saccharomyces cerevisiae, </w:t>
      </w:r>
    </w:p>
    <w:p w14:paraId="69EF2082" w14:textId="77777777" w:rsidR="0040495B" w:rsidRPr="0040495B" w:rsidRDefault="00A766C6" w:rsidP="00F952F7">
      <w:pPr>
        <w:shd w:val="clear" w:color="auto" w:fill="FFFFFF"/>
        <w:spacing w:after="100" w:afterAutospacing="1" w:line="240" w:lineRule="auto"/>
        <w:ind w:left="57" w:right="57" w:firstLine="720"/>
        <w:outlineLvl w:val="2"/>
        <w:rPr>
          <w:rFonts w:eastAsia="Times New Roman" w:cs="Times New Roman"/>
          <w:i/>
          <w:iCs/>
          <w:spacing w:val="-2"/>
          <w:sz w:val="22"/>
          <w:szCs w:val="22"/>
        </w:rPr>
      </w:pPr>
      <w:r w:rsidRPr="0040495B">
        <w:rPr>
          <w:rFonts w:eastAsia="Times New Roman" w:cs="Times New Roman"/>
          <w:i/>
          <w:iCs/>
          <w:spacing w:val="-2"/>
          <w:sz w:val="22"/>
          <w:szCs w:val="22"/>
        </w:rPr>
        <w:t xml:space="preserve">Kluyveromyces lactis, </w:t>
      </w:r>
    </w:p>
    <w:p w14:paraId="74FBD6C6" w14:textId="77777777" w:rsidR="0040495B" w:rsidRDefault="00A766C6" w:rsidP="00F952F7">
      <w:pPr>
        <w:shd w:val="clear" w:color="auto" w:fill="FFFFFF"/>
        <w:spacing w:after="100" w:afterAutospacing="1" w:line="240" w:lineRule="auto"/>
        <w:ind w:left="57" w:right="57" w:firstLine="720"/>
        <w:outlineLvl w:val="2"/>
        <w:rPr>
          <w:rFonts w:eastAsia="Times New Roman" w:cs="Times New Roman"/>
          <w:spacing w:val="-2"/>
          <w:sz w:val="22"/>
          <w:szCs w:val="22"/>
        </w:rPr>
      </w:pPr>
      <w:r w:rsidRPr="0040495B">
        <w:rPr>
          <w:rFonts w:eastAsia="Times New Roman" w:cs="Times New Roman"/>
          <w:i/>
          <w:iCs/>
          <w:spacing w:val="-2"/>
          <w:sz w:val="22"/>
          <w:szCs w:val="22"/>
        </w:rPr>
        <w:t>Pichia pastoris</w:t>
      </w:r>
      <w:r w:rsidRPr="00A766C6">
        <w:rPr>
          <w:rFonts w:eastAsia="Times New Roman" w:cs="Times New Roman"/>
          <w:spacing w:val="-2"/>
          <w:sz w:val="22"/>
          <w:szCs w:val="22"/>
        </w:rPr>
        <w:t xml:space="preserve"> and</w:t>
      </w:r>
      <w:r w:rsidR="0040495B">
        <w:rPr>
          <w:rFonts w:eastAsia="Times New Roman" w:cs="Times New Roman"/>
          <w:spacing w:val="-2"/>
          <w:sz w:val="22"/>
          <w:szCs w:val="22"/>
        </w:rPr>
        <w:t xml:space="preserve"> </w:t>
      </w:r>
      <w:r w:rsidRPr="00A766C6">
        <w:rPr>
          <w:rFonts w:eastAsia="Times New Roman" w:cs="Times New Roman"/>
          <w:spacing w:val="-2"/>
          <w:sz w:val="22"/>
          <w:szCs w:val="22"/>
        </w:rPr>
        <w:t xml:space="preserve">other; </w:t>
      </w:r>
    </w:p>
    <w:p w14:paraId="61BB5709" w14:textId="6BF36F25" w:rsidR="00A766C6" w:rsidRPr="00A766C6" w:rsidRDefault="00A766C6" w:rsidP="00F952F7">
      <w:pPr>
        <w:shd w:val="clear" w:color="auto" w:fill="FFFFFF"/>
        <w:spacing w:after="100" w:afterAutospacing="1" w:line="240" w:lineRule="auto"/>
        <w:ind w:left="57" w:right="57" w:firstLine="720"/>
        <w:outlineLvl w:val="2"/>
        <w:rPr>
          <w:rFonts w:eastAsia="Times New Roman" w:cs="Times New Roman"/>
          <w:spacing w:val="-2"/>
          <w:sz w:val="22"/>
          <w:szCs w:val="22"/>
        </w:rPr>
      </w:pPr>
      <w:r w:rsidRPr="00A766C6">
        <w:rPr>
          <w:rFonts w:eastAsia="Times New Roman" w:cs="Times New Roman"/>
          <w:spacing w:val="-2"/>
          <w:sz w:val="22"/>
          <w:szCs w:val="22"/>
        </w:rPr>
        <w:t>cell cultures of insects, mammals, baculoviruses, etc.</w:t>
      </w:r>
    </w:p>
    <w:p w14:paraId="0441B388" w14:textId="77777777" w:rsidR="0040495B"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766C6">
        <w:rPr>
          <w:rFonts w:eastAsia="Times New Roman" w:cs="Times New Roman"/>
          <w:spacing w:val="-2"/>
          <w:sz w:val="22"/>
          <w:szCs w:val="22"/>
        </w:rPr>
        <w:t>For subsequent identification of transgenic cells into cloning</w:t>
      </w:r>
      <w:r w:rsidR="0040495B">
        <w:rPr>
          <w:rFonts w:eastAsia="Times New Roman" w:cs="Times New Roman"/>
          <w:spacing w:val="-2"/>
          <w:sz w:val="22"/>
          <w:szCs w:val="22"/>
        </w:rPr>
        <w:t xml:space="preserve"> </w:t>
      </w:r>
      <w:r w:rsidRPr="00A766C6">
        <w:rPr>
          <w:rFonts w:eastAsia="Times New Roman" w:cs="Times New Roman"/>
          <w:spacing w:val="-2"/>
          <w:sz w:val="22"/>
          <w:szCs w:val="22"/>
        </w:rPr>
        <w:t>vectors introduce additional genetic inserts - reporter or</w:t>
      </w:r>
      <w:r w:rsidR="0040495B">
        <w:rPr>
          <w:rFonts w:eastAsia="Times New Roman" w:cs="Times New Roman"/>
          <w:spacing w:val="-2"/>
          <w:sz w:val="22"/>
          <w:szCs w:val="22"/>
        </w:rPr>
        <w:t xml:space="preserve"> </w:t>
      </w:r>
      <w:r w:rsidRPr="00A766C6">
        <w:rPr>
          <w:rFonts w:eastAsia="Times New Roman" w:cs="Times New Roman"/>
          <w:spacing w:val="-2"/>
          <w:sz w:val="22"/>
          <w:szCs w:val="22"/>
        </w:rPr>
        <w:t xml:space="preserve">marker, selective genes. </w:t>
      </w:r>
    </w:p>
    <w:p w14:paraId="2854E58A" w14:textId="77777777" w:rsidR="0040495B"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766C6">
        <w:rPr>
          <w:rFonts w:eastAsia="Times New Roman" w:cs="Times New Roman"/>
          <w:spacing w:val="-2"/>
          <w:sz w:val="22"/>
          <w:szCs w:val="22"/>
        </w:rPr>
        <w:t xml:space="preserve">At present, </w:t>
      </w:r>
      <w:r w:rsidRPr="0040495B">
        <w:rPr>
          <w:rFonts w:eastAsia="Times New Roman" w:cs="Times New Roman"/>
          <w:b/>
          <w:bCs/>
          <w:i/>
          <w:iCs/>
          <w:spacing w:val="-2"/>
          <w:sz w:val="22"/>
          <w:szCs w:val="22"/>
        </w:rPr>
        <w:t>selective</w:t>
      </w:r>
      <w:r w:rsidR="0040495B" w:rsidRPr="0040495B">
        <w:rPr>
          <w:rFonts w:eastAsia="Times New Roman" w:cs="Times New Roman"/>
          <w:b/>
          <w:bCs/>
          <w:i/>
          <w:iCs/>
          <w:spacing w:val="-2"/>
          <w:sz w:val="22"/>
          <w:szCs w:val="22"/>
        </w:rPr>
        <w:t xml:space="preserve"> </w:t>
      </w:r>
      <w:r w:rsidRPr="0040495B">
        <w:rPr>
          <w:rFonts w:eastAsia="Times New Roman" w:cs="Times New Roman"/>
          <w:b/>
          <w:bCs/>
          <w:i/>
          <w:iCs/>
          <w:spacing w:val="-2"/>
          <w:sz w:val="22"/>
          <w:szCs w:val="22"/>
        </w:rPr>
        <w:t>genes</w:t>
      </w:r>
      <w:r w:rsidRPr="00A766C6">
        <w:rPr>
          <w:rFonts w:eastAsia="Times New Roman" w:cs="Times New Roman"/>
          <w:spacing w:val="-2"/>
          <w:sz w:val="22"/>
          <w:szCs w:val="22"/>
        </w:rPr>
        <w:t xml:space="preserve"> of the first, second and third generations. </w:t>
      </w:r>
    </w:p>
    <w:p w14:paraId="388163B5" w14:textId="77777777" w:rsidR="0040495B"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766C6">
        <w:rPr>
          <w:rFonts w:eastAsia="Times New Roman" w:cs="Times New Roman"/>
          <w:spacing w:val="-2"/>
          <w:sz w:val="22"/>
          <w:szCs w:val="22"/>
        </w:rPr>
        <w:t>The student must know</w:t>
      </w:r>
      <w:r w:rsidR="0040495B">
        <w:rPr>
          <w:rFonts w:eastAsia="Times New Roman" w:cs="Times New Roman"/>
          <w:spacing w:val="-2"/>
          <w:sz w:val="22"/>
          <w:szCs w:val="22"/>
        </w:rPr>
        <w:t xml:space="preserve"> </w:t>
      </w:r>
      <w:r w:rsidRPr="00A766C6">
        <w:rPr>
          <w:rFonts w:eastAsia="Times New Roman" w:cs="Times New Roman"/>
          <w:spacing w:val="-2"/>
          <w:sz w:val="22"/>
          <w:szCs w:val="22"/>
        </w:rPr>
        <w:t xml:space="preserve">main marker genes: </w:t>
      </w:r>
    </w:p>
    <w:p w14:paraId="293E3E07" w14:textId="77777777" w:rsidR="0040495B"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40495B">
        <w:rPr>
          <w:rFonts w:eastAsia="Times New Roman" w:cs="Times New Roman"/>
          <w:i/>
          <w:iCs/>
          <w:spacing w:val="-2"/>
          <w:sz w:val="22"/>
          <w:szCs w:val="22"/>
        </w:rPr>
        <w:t>NPT gene</w:t>
      </w:r>
      <w:r w:rsidRPr="00A766C6">
        <w:rPr>
          <w:rFonts w:eastAsia="Times New Roman" w:cs="Times New Roman"/>
          <w:spacing w:val="-2"/>
          <w:sz w:val="22"/>
          <w:szCs w:val="22"/>
        </w:rPr>
        <w:t xml:space="preserve"> (neomycin phosphotransferase), </w:t>
      </w:r>
    </w:p>
    <w:p w14:paraId="6F9A45DD" w14:textId="77777777" w:rsidR="0040495B"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40495B">
        <w:rPr>
          <w:rFonts w:eastAsia="Times New Roman" w:cs="Times New Roman"/>
          <w:i/>
          <w:iCs/>
          <w:spacing w:val="-2"/>
          <w:sz w:val="22"/>
          <w:szCs w:val="22"/>
        </w:rPr>
        <w:lastRenderedPageBreak/>
        <w:t>GUS gene</w:t>
      </w:r>
      <w:r w:rsidR="0040495B">
        <w:rPr>
          <w:rFonts w:eastAsia="Times New Roman" w:cs="Times New Roman"/>
          <w:i/>
          <w:iCs/>
          <w:spacing w:val="-2"/>
          <w:sz w:val="22"/>
          <w:szCs w:val="22"/>
        </w:rPr>
        <w:t xml:space="preserve"> </w:t>
      </w:r>
      <w:r w:rsidRPr="00A766C6">
        <w:rPr>
          <w:rFonts w:eastAsia="Times New Roman" w:cs="Times New Roman"/>
          <w:spacing w:val="-2"/>
          <w:sz w:val="22"/>
          <w:szCs w:val="22"/>
        </w:rPr>
        <w:t>(glucuronidase),</w:t>
      </w:r>
    </w:p>
    <w:p w14:paraId="0737279C" w14:textId="0250EE75" w:rsidR="00AA6743" w:rsidRDefault="00A766C6"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766C6">
        <w:rPr>
          <w:rFonts w:eastAsia="Times New Roman" w:cs="Times New Roman"/>
          <w:spacing w:val="-2"/>
          <w:sz w:val="22"/>
          <w:szCs w:val="22"/>
        </w:rPr>
        <w:t xml:space="preserve"> </w:t>
      </w:r>
      <w:r w:rsidRPr="0040495B">
        <w:rPr>
          <w:rFonts w:eastAsia="Times New Roman" w:cs="Times New Roman"/>
          <w:i/>
          <w:iCs/>
          <w:spacing w:val="-2"/>
          <w:sz w:val="22"/>
          <w:szCs w:val="22"/>
        </w:rPr>
        <w:t xml:space="preserve">GFP </w:t>
      </w:r>
      <w:r w:rsidRPr="00A766C6">
        <w:rPr>
          <w:rFonts w:eastAsia="Times New Roman" w:cs="Times New Roman"/>
          <w:spacing w:val="-2"/>
          <w:sz w:val="22"/>
          <w:szCs w:val="22"/>
        </w:rPr>
        <w:t>(green fluorescent protein) gene, virtues and</w:t>
      </w:r>
      <w:r w:rsidR="0040495B">
        <w:rPr>
          <w:rFonts w:eastAsia="Times New Roman" w:cs="Times New Roman"/>
          <w:i/>
          <w:iCs/>
          <w:spacing w:val="-2"/>
          <w:sz w:val="22"/>
          <w:szCs w:val="22"/>
        </w:rPr>
        <w:t xml:space="preserve"> </w:t>
      </w:r>
      <w:r w:rsidRPr="00A766C6">
        <w:rPr>
          <w:rFonts w:eastAsia="Times New Roman" w:cs="Times New Roman"/>
          <w:spacing w:val="-2"/>
          <w:sz w:val="22"/>
          <w:szCs w:val="22"/>
        </w:rPr>
        <w:t>deficiencies of these genes as markers.</w:t>
      </w:r>
    </w:p>
    <w:p w14:paraId="4ED3DCBE" w14:textId="23754BBF" w:rsidR="0040495B" w:rsidRPr="0040495B" w:rsidRDefault="0040495B" w:rsidP="00F952F7">
      <w:pPr>
        <w:shd w:val="clear" w:color="auto" w:fill="FFFFFF"/>
        <w:spacing w:after="100" w:afterAutospacing="1" w:line="240" w:lineRule="auto"/>
        <w:ind w:left="57" w:right="57"/>
        <w:outlineLvl w:val="2"/>
        <w:rPr>
          <w:rFonts w:cs="Times New Roman"/>
          <w:b/>
          <w:sz w:val="22"/>
          <w:szCs w:val="22"/>
        </w:rPr>
      </w:pPr>
      <w:r w:rsidRPr="00AA6743">
        <w:rPr>
          <w:rFonts w:cs="Times New Roman"/>
          <w:b/>
          <w:sz w:val="22"/>
          <w:szCs w:val="22"/>
        </w:rPr>
        <w:t xml:space="preserve">Lab. work </w:t>
      </w:r>
      <w:r>
        <w:rPr>
          <w:rFonts w:cs="Times New Roman"/>
          <w:b/>
          <w:sz w:val="22"/>
          <w:szCs w:val="22"/>
        </w:rPr>
        <w:t xml:space="preserve">4. </w:t>
      </w:r>
      <w:r w:rsidRPr="0040495B">
        <w:rPr>
          <w:rFonts w:cs="Times New Roman"/>
          <w:bCs/>
          <w:i/>
          <w:iCs/>
          <w:sz w:val="22"/>
          <w:szCs w:val="22"/>
        </w:rPr>
        <w:t xml:space="preserve">Methods for introducing recombinant DNA into a cell. </w:t>
      </w:r>
    </w:p>
    <w:p w14:paraId="4ADE11AA" w14:textId="1FE8208A" w:rsidR="0040495B" w:rsidRPr="0040495B" w:rsidRDefault="0040495B" w:rsidP="00F952F7">
      <w:pPr>
        <w:shd w:val="clear" w:color="auto" w:fill="FFFFFF"/>
        <w:spacing w:after="100" w:afterAutospacing="1" w:line="240" w:lineRule="auto"/>
        <w:ind w:left="57" w:right="57"/>
        <w:outlineLvl w:val="2"/>
        <w:rPr>
          <w:rFonts w:cs="Times New Roman"/>
          <w:bCs/>
          <w:sz w:val="22"/>
          <w:szCs w:val="22"/>
        </w:rPr>
      </w:pPr>
      <w:r w:rsidRPr="0040495B">
        <w:rPr>
          <w:rFonts w:cs="Times New Roman"/>
          <w:bCs/>
          <w:sz w:val="22"/>
          <w:szCs w:val="22"/>
        </w:rPr>
        <w:t>Finished genetic constructs are transferred to target cells (organisms). For</w:t>
      </w:r>
      <w:r>
        <w:rPr>
          <w:rFonts w:cs="Times New Roman"/>
          <w:bCs/>
          <w:sz w:val="22"/>
          <w:szCs w:val="22"/>
        </w:rPr>
        <w:t xml:space="preserve"> </w:t>
      </w:r>
      <w:r w:rsidRPr="0040495B">
        <w:rPr>
          <w:rFonts w:cs="Times New Roman"/>
          <w:bCs/>
          <w:sz w:val="22"/>
          <w:szCs w:val="22"/>
        </w:rPr>
        <w:t>this is used as physical (electroporation, ballistic methods,</w:t>
      </w:r>
      <w:r>
        <w:rPr>
          <w:rFonts w:cs="Times New Roman"/>
          <w:bCs/>
          <w:sz w:val="22"/>
          <w:szCs w:val="22"/>
        </w:rPr>
        <w:t xml:space="preserve"> </w:t>
      </w:r>
      <w:r w:rsidRPr="0040495B">
        <w:rPr>
          <w:rFonts w:cs="Times New Roman"/>
          <w:bCs/>
          <w:sz w:val="22"/>
          <w:szCs w:val="22"/>
        </w:rPr>
        <w:t>vacuum infiltration, DNA microinjection), and biological</w:t>
      </w:r>
    </w:p>
    <w:p w14:paraId="52BB4B7E" w14:textId="0AD695C9" w:rsidR="0040495B" w:rsidRPr="0040495B" w:rsidRDefault="0040495B" w:rsidP="00F952F7">
      <w:pPr>
        <w:shd w:val="clear" w:color="auto" w:fill="FFFFFF"/>
        <w:spacing w:after="100" w:afterAutospacing="1" w:line="240" w:lineRule="auto"/>
        <w:ind w:left="57" w:right="57"/>
        <w:outlineLvl w:val="2"/>
        <w:rPr>
          <w:rFonts w:cs="Times New Roman"/>
          <w:bCs/>
          <w:sz w:val="22"/>
          <w:szCs w:val="22"/>
        </w:rPr>
      </w:pPr>
      <w:r w:rsidRPr="0040495B">
        <w:rPr>
          <w:rFonts w:cs="Times New Roman"/>
          <w:bCs/>
          <w:sz w:val="22"/>
          <w:szCs w:val="22"/>
        </w:rPr>
        <w:t>methods (viral transduction, bacterial transformation,</w:t>
      </w:r>
      <w:r>
        <w:rPr>
          <w:rFonts w:cs="Times New Roman"/>
          <w:bCs/>
          <w:sz w:val="22"/>
          <w:szCs w:val="22"/>
        </w:rPr>
        <w:t xml:space="preserve"> </w:t>
      </w:r>
      <w:r w:rsidRPr="0040495B">
        <w:rPr>
          <w:rFonts w:cs="Times New Roman"/>
          <w:bCs/>
          <w:sz w:val="22"/>
          <w:szCs w:val="22"/>
        </w:rPr>
        <w:t>transplastomic and mitochondrial transformations). The student must</w:t>
      </w:r>
      <w:r>
        <w:rPr>
          <w:rFonts w:cs="Times New Roman"/>
          <w:bCs/>
          <w:sz w:val="22"/>
          <w:szCs w:val="22"/>
        </w:rPr>
        <w:t xml:space="preserve"> </w:t>
      </w:r>
      <w:r w:rsidRPr="0040495B">
        <w:rPr>
          <w:rFonts w:cs="Times New Roman"/>
          <w:bCs/>
          <w:sz w:val="22"/>
          <w:szCs w:val="22"/>
        </w:rPr>
        <w:t>show how these procedures are carried out, in what cases</w:t>
      </w:r>
      <w:r>
        <w:rPr>
          <w:rFonts w:cs="Times New Roman"/>
          <w:bCs/>
          <w:sz w:val="22"/>
          <w:szCs w:val="22"/>
        </w:rPr>
        <w:t xml:space="preserve"> </w:t>
      </w:r>
      <w:r w:rsidRPr="0040495B">
        <w:rPr>
          <w:rFonts w:cs="Times New Roman"/>
          <w:bCs/>
          <w:sz w:val="22"/>
          <w:szCs w:val="22"/>
        </w:rPr>
        <w:t>use certain methods of transfer, their effectiveness.</w:t>
      </w:r>
    </w:p>
    <w:p w14:paraId="764BF7C3" w14:textId="77777777" w:rsidR="0040495B" w:rsidRPr="0040495B" w:rsidRDefault="0040495B" w:rsidP="00F952F7">
      <w:pPr>
        <w:shd w:val="clear" w:color="auto" w:fill="FFFFFF"/>
        <w:spacing w:after="100" w:afterAutospacing="1" w:line="240" w:lineRule="auto"/>
        <w:ind w:left="57" w:right="57"/>
        <w:outlineLvl w:val="2"/>
        <w:rPr>
          <w:rFonts w:cs="Times New Roman"/>
          <w:bCs/>
          <w:sz w:val="22"/>
          <w:szCs w:val="22"/>
        </w:rPr>
      </w:pPr>
      <w:r w:rsidRPr="0040495B">
        <w:rPr>
          <w:rFonts w:cs="Times New Roman"/>
          <w:bCs/>
          <w:sz w:val="22"/>
          <w:szCs w:val="22"/>
        </w:rPr>
        <w:t>In more detail, the student should know and characterize the transfer</w:t>
      </w:r>
    </w:p>
    <w:p w14:paraId="6D1FAEC6" w14:textId="77777777" w:rsidR="0040495B" w:rsidRDefault="0040495B" w:rsidP="00F952F7">
      <w:pPr>
        <w:shd w:val="clear" w:color="auto" w:fill="FFFFFF"/>
        <w:spacing w:after="100" w:afterAutospacing="1" w:line="240" w:lineRule="auto"/>
        <w:ind w:left="57" w:right="57"/>
        <w:outlineLvl w:val="2"/>
        <w:rPr>
          <w:rFonts w:cs="Times New Roman"/>
          <w:bCs/>
          <w:sz w:val="22"/>
          <w:szCs w:val="22"/>
        </w:rPr>
      </w:pPr>
      <w:r w:rsidRPr="0040495B">
        <w:rPr>
          <w:rFonts w:cs="Times New Roman"/>
          <w:bCs/>
          <w:sz w:val="22"/>
          <w:szCs w:val="22"/>
        </w:rPr>
        <w:t xml:space="preserve">transgene into plants with the participation of </w:t>
      </w:r>
      <w:r w:rsidRPr="0040495B">
        <w:rPr>
          <w:rFonts w:cs="Times New Roman"/>
          <w:bCs/>
          <w:i/>
          <w:iCs/>
          <w:sz w:val="22"/>
          <w:szCs w:val="22"/>
        </w:rPr>
        <w:t>Agrobacterium tumefaciens</w:t>
      </w:r>
      <w:r w:rsidRPr="0040495B">
        <w:rPr>
          <w:rFonts w:cs="Times New Roman"/>
          <w:bCs/>
          <w:sz w:val="22"/>
          <w:szCs w:val="22"/>
        </w:rPr>
        <w:t xml:space="preserve">. </w:t>
      </w:r>
    </w:p>
    <w:p w14:paraId="224C15BA" w14:textId="3B30CB72" w:rsidR="0040495B" w:rsidRPr="0040495B" w:rsidRDefault="0040495B" w:rsidP="00F952F7">
      <w:pPr>
        <w:shd w:val="clear" w:color="auto" w:fill="FFFFFF"/>
        <w:spacing w:after="100" w:afterAutospacing="1" w:line="240" w:lineRule="auto"/>
        <w:ind w:left="57" w:right="57"/>
        <w:outlineLvl w:val="2"/>
        <w:rPr>
          <w:rFonts w:cs="Times New Roman"/>
          <w:bCs/>
          <w:sz w:val="22"/>
          <w:szCs w:val="22"/>
        </w:rPr>
      </w:pPr>
      <w:r w:rsidRPr="0040495B">
        <w:rPr>
          <w:rFonts w:cs="Times New Roman"/>
          <w:bCs/>
          <w:sz w:val="22"/>
          <w:szCs w:val="22"/>
        </w:rPr>
        <w:t>Necessary</w:t>
      </w:r>
      <w:r>
        <w:rPr>
          <w:rFonts w:cs="Times New Roman"/>
          <w:bCs/>
          <w:sz w:val="22"/>
          <w:szCs w:val="22"/>
        </w:rPr>
        <w:t xml:space="preserve"> </w:t>
      </w:r>
      <w:r w:rsidRPr="0040495B">
        <w:rPr>
          <w:rFonts w:cs="Times New Roman"/>
          <w:bCs/>
          <w:sz w:val="22"/>
          <w:szCs w:val="22"/>
        </w:rPr>
        <w:t>understand how plant cells are infected</w:t>
      </w:r>
      <w:r>
        <w:rPr>
          <w:rFonts w:cs="Times New Roman"/>
          <w:bCs/>
          <w:sz w:val="22"/>
          <w:szCs w:val="22"/>
        </w:rPr>
        <w:t xml:space="preserve"> </w:t>
      </w:r>
      <w:r w:rsidRPr="0040495B">
        <w:rPr>
          <w:rFonts w:cs="Times New Roman"/>
          <w:bCs/>
          <w:sz w:val="22"/>
          <w:szCs w:val="22"/>
        </w:rPr>
        <w:t>agrobacteria, which is a signal for bacteria to chemotaxis in</w:t>
      </w:r>
      <w:r>
        <w:rPr>
          <w:rFonts w:cs="Times New Roman"/>
          <w:bCs/>
          <w:sz w:val="22"/>
          <w:szCs w:val="22"/>
        </w:rPr>
        <w:t xml:space="preserve"> </w:t>
      </w:r>
      <w:r w:rsidRPr="0040495B">
        <w:rPr>
          <w:rFonts w:cs="Times New Roman"/>
          <w:bCs/>
          <w:sz w:val="22"/>
          <w:szCs w:val="22"/>
        </w:rPr>
        <w:t>direction of plant cells, how embedding occurs</w:t>
      </w:r>
      <w:r>
        <w:rPr>
          <w:rFonts w:cs="Times New Roman"/>
          <w:bCs/>
          <w:sz w:val="22"/>
          <w:szCs w:val="22"/>
        </w:rPr>
        <w:t xml:space="preserve"> </w:t>
      </w:r>
      <w:r w:rsidRPr="0040495B">
        <w:rPr>
          <w:rFonts w:cs="Times New Roman"/>
          <w:bCs/>
          <w:sz w:val="22"/>
          <w:szCs w:val="22"/>
        </w:rPr>
        <w:t>agrobacterial plasmids in plant DNA.</w:t>
      </w:r>
    </w:p>
    <w:p w14:paraId="21804959" w14:textId="22C32AFB" w:rsidR="0040495B" w:rsidRPr="0040495B" w:rsidRDefault="00CB2044" w:rsidP="00F952F7">
      <w:pPr>
        <w:shd w:val="clear" w:color="auto" w:fill="FFFFFF"/>
        <w:spacing w:after="100" w:afterAutospacing="1" w:line="240" w:lineRule="auto"/>
        <w:ind w:left="57" w:right="57"/>
        <w:outlineLvl w:val="2"/>
        <w:rPr>
          <w:rFonts w:cs="Times New Roman"/>
          <w:b/>
          <w:sz w:val="22"/>
          <w:szCs w:val="22"/>
        </w:rPr>
      </w:pPr>
      <w:r>
        <w:rPr>
          <w:b/>
          <w:bCs/>
          <w:sz w:val="22"/>
          <w:szCs w:val="22"/>
        </w:rPr>
        <w:t>Lab 5.</w:t>
      </w:r>
      <w:r>
        <w:rPr>
          <w:bCs/>
          <w:sz w:val="22"/>
          <w:szCs w:val="22"/>
        </w:rPr>
        <w:t xml:space="preserve"> Theme methods of analyses of nucleic acids</w:t>
      </w:r>
    </w:p>
    <w:p w14:paraId="6F66311F" w14:textId="7FB13127" w:rsidR="0040495B" w:rsidRDefault="006E210A" w:rsidP="00F952F7">
      <w:pPr>
        <w:shd w:val="clear" w:color="auto" w:fill="FFFFFF"/>
        <w:spacing w:after="100" w:afterAutospacing="1" w:line="240" w:lineRule="auto"/>
        <w:ind w:left="57" w:right="57"/>
        <w:outlineLvl w:val="2"/>
        <w:rPr>
          <w:color w:val="111111"/>
          <w:sz w:val="22"/>
          <w:szCs w:val="22"/>
        </w:rPr>
      </w:pPr>
      <w:r w:rsidRPr="00AA6743">
        <w:rPr>
          <w:rFonts w:cs="Times New Roman"/>
          <w:b/>
          <w:sz w:val="22"/>
          <w:szCs w:val="22"/>
        </w:rPr>
        <w:t xml:space="preserve">Lab. work </w:t>
      </w:r>
      <w:r w:rsidR="00CB2044">
        <w:rPr>
          <w:rFonts w:cs="Times New Roman"/>
          <w:b/>
          <w:sz w:val="22"/>
          <w:szCs w:val="22"/>
        </w:rPr>
        <w:t>6</w:t>
      </w:r>
      <w:r>
        <w:rPr>
          <w:rFonts w:cs="Times New Roman"/>
          <w:b/>
          <w:sz w:val="22"/>
          <w:szCs w:val="22"/>
        </w:rPr>
        <w:t xml:space="preserve">. </w:t>
      </w:r>
      <w:r w:rsidRPr="007E76AD">
        <w:rPr>
          <w:bCs/>
          <w:i/>
          <w:iCs/>
          <w:sz w:val="22"/>
          <w:szCs w:val="22"/>
        </w:rPr>
        <w:t xml:space="preserve">Methods of  determination of </w:t>
      </w:r>
      <w:r w:rsidRPr="007E76AD">
        <w:rPr>
          <w:i/>
          <w:iCs/>
          <w:color w:val="111111"/>
          <w:sz w:val="22"/>
          <w:szCs w:val="22"/>
        </w:rPr>
        <w:t>vitamins A, C, E, plant pigments, indispensable unsaturated fatty acids (IUFA), alimentary cellulose, and pre- and probiotics</w:t>
      </w:r>
    </w:p>
    <w:p w14:paraId="6A6B8B25" w14:textId="2A976460" w:rsidR="006E210A" w:rsidRDefault="006E210A" w:rsidP="00F952F7">
      <w:pPr>
        <w:shd w:val="clear" w:color="auto" w:fill="FFFFFF"/>
        <w:spacing w:after="100" w:afterAutospacing="1" w:line="240" w:lineRule="auto"/>
        <w:ind w:left="57" w:right="57"/>
        <w:outlineLvl w:val="2"/>
        <w:rPr>
          <w:bCs/>
          <w:sz w:val="22"/>
          <w:szCs w:val="22"/>
        </w:rPr>
      </w:pPr>
      <w:r>
        <w:rPr>
          <w:b/>
          <w:bCs/>
          <w:sz w:val="22"/>
          <w:szCs w:val="22"/>
        </w:rPr>
        <w:t xml:space="preserve">Lab </w:t>
      </w:r>
      <w:r w:rsidR="00CB2044">
        <w:rPr>
          <w:b/>
          <w:bCs/>
          <w:sz w:val="22"/>
          <w:szCs w:val="22"/>
        </w:rPr>
        <w:t>6</w:t>
      </w:r>
      <w:r>
        <w:rPr>
          <w:b/>
          <w:bCs/>
          <w:sz w:val="22"/>
          <w:szCs w:val="22"/>
        </w:rPr>
        <w:t>.</w:t>
      </w:r>
      <w:r>
        <w:rPr>
          <w:bCs/>
          <w:sz w:val="22"/>
          <w:szCs w:val="22"/>
        </w:rPr>
        <w:t xml:space="preserve">  </w:t>
      </w:r>
      <w:r w:rsidRPr="00835CAD">
        <w:rPr>
          <w:bCs/>
          <w:i/>
          <w:iCs/>
          <w:sz w:val="22"/>
          <w:szCs w:val="22"/>
        </w:rPr>
        <w:t>Pre and pos-marketing issues to be solve before GM crops commercialisation</w:t>
      </w:r>
    </w:p>
    <w:p w14:paraId="58BD8980" w14:textId="2E4237E1" w:rsidR="00515038" w:rsidRDefault="00CB2044" w:rsidP="00F952F7">
      <w:pPr>
        <w:shd w:val="clear" w:color="auto" w:fill="FFFFFF"/>
        <w:spacing w:after="100" w:afterAutospacing="1" w:line="240" w:lineRule="auto"/>
        <w:ind w:left="57" w:right="57"/>
        <w:outlineLvl w:val="2"/>
        <w:rPr>
          <w:bCs/>
          <w:sz w:val="22"/>
          <w:szCs w:val="22"/>
        </w:rPr>
      </w:pPr>
      <w:r>
        <w:rPr>
          <w:b/>
          <w:bCs/>
          <w:sz w:val="22"/>
          <w:szCs w:val="22"/>
        </w:rPr>
        <w:t>Lab 7.</w:t>
      </w:r>
      <w:r>
        <w:rPr>
          <w:bCs/>
          <w:sz w:val="22"/>
          <w:szCs w:val="22"/>
        </w:rPr>
        <w:t xml:space="preserve">  Theme</w:t>
      </w:r>
      <w:r>
        <w:rPr>
          <w:spacing w:val="-2"/>
          <w:sz w:val="22"/>
          <w:szCs w:val="22"/>
        </w:rPr>
        <w:t xml:space="preserve"> Molecular Characterization of GMOs. </w:t>
      </w:r>
      <w:r>
        <w:rPr>
          <w:sz w:val="22"/>
          <w:szCs w:val="22"/>
        </w:rPr>
        <w:t>Southern blot analysis and polymerase chain reaction (PCR)</w:t>
      </w:r>
      <w:r w:rsidRPr="00515038">
        <w:rPr>
          <w:bCs/>
          <w:sz w:val="22"/>
          <w:szCs w:val="22"/>
        </w:rPr>
        <w:t xml:space="preserve"> </w:t>
      </w:r>
      <w:r w:rsidR="00515038" w:rsidRPr="00515038">
        <w:rPr>
          <w:bCs/>
          <w:sz w:val="22"/>
          <w:szCs w:val="22"/>
        </w:rPr>
        <w:t>Cell cultures or transgenic organisms are</w:t>
      </w:r>
      <w:r w:rsidR="00515038">
        <w:rPr>
          <w:bCs/>
          <w:sz w:val="22"/>
          <w:szCs w:val="22"/>
        </w:rPr>
        <w:t xml:space="preserve"> </w:t>
      </w:r>
      <w:r w:rsidR="00515038" w:rsidRPr="00515038">
        <w:rPr>
          <w:bCs/>
          <w:sz w:val="22"/>
          <w:szCs w:val="22"/>
        </w:rPr>
        <w:t>mosaic in terms of the genome. Only a part of the cells contains a built-in</w:t>
      </w:r>
      <w:r w:rsidR="00515038">
        <w:rPr>
          <w:bCs/>
          <w:sz w:val="22"/>
          <w:szCs w:val="22"/>
        </w:rPr>
        <w:t xml:space="preserve"> </w:t>
      </w:r>
      <w:r w:rsidR="00515038" w:rsidRPr="00515038">
        <w:rPr>
          <w:bCs/>
          <w:sz w:val="22"/>
          <w:szCs w:val="22"/>
        </w:rPr>
        <w:t>transgene, but it is these cells that are of interest for gene</w:t>
      </w:r>
      <w:r w:rsidR="00515038">
        <w:rPr>
          <w:bCs/>
          <w:sz w:val="22"/>
          <w:szCs w:val="22"/>
        </w:rPr>
        <w:t xml:space="preserve"> </w:t>
      </w:r>
      <w:r w:rsidR="00515038" w:rsidRPr="00515038">
        <w:rPr>
          <w:bCs/>
          <w:sz w:val="22"/>
          <w:szCs w:val="22"/>
        </w:rPr>
        <w:t xml:space="preserve">engineers. They need to be selected for further cloning. </w:t>
      </w:r>
    </w:p>
    <w:p w14:paraId="45F1AA2E" w14:textId="0EFB678C" w:rsidR="00515038" w:rsidRPr="00515038" w:rsidRDefault="00515038" w:rsidP="00F952F7">
      <w:pPr>
        <w:shd w:val="clear" w:color="auto" w:fill="FFFFFF"/>
        <w:spacing w:after="100" w:afterAutospacing="1" w:line="240" w:lineRule="auto"/>
        <w:ind w:left="57" w:right="57"/>
        <w:outlineLvl w:val="2"/>
        <w:rPr>
          <w:bCs/>
          <w:sz w:val="22"/>
          <w:szCs w:val="22"/>
        </w:rPr>
      </w:pPr>
      <w:r w:rsidRPr="00515038">
        <w:rPr>
          <w:bCs/>
          <w:sz w:val="22"/>
          <w:szCs w:val="22"/>
        </w:rPr>
        <w:t>For this</w:t>
      </w:r>
      <w:r>
        <w:rPr>
          <w:bCs/>
          <w:sz w:val="22"/>
          <w:szCs w:val="22"/>
        </w:rPr>
        <w:t xml:space="preserve"> </w:t>
      </w:r>
      <w:r w:rsidRPr="00515038">
        <w:rPr>
          <w:bCs/>
          <w:sz w:val="22"/>
          <w:szCs w:val="22"/>
        </w:rPr>
        <w:t>use different approaches, for example, cell selection on media with</w:t>
      </w:r>
      <w:r>
        <w:rPr>
          <w:bCs/>
          <w:sz w:val="22"/>
          <w:szCs w:val="22"/>
        </w:rPr>
        <w:t xml:space="preserve"> </w:t>
      </w:r>
      <w:r w:rsidRPr="00515038">
        <w:rPr>
          <w:bCs/>
          <w:sz w:val="22"/>
          <w:szCs w:val="22"/>
        </w:rPr>
        <w:t>antibiotics, detection of reporter gene expression products</w:t>
      </w:r>
      <w:r>
        <w:rPr>
          <w:bCs/>
          <w:sz w:val="22"/>
          <w:szCs w:val="22"/>
        </w:rPr>
        <w:t xml:space="preserve"> </w:t>
      </w:r>
      <w:r w:rsidRPr="00515038">
        <w:rPr>
          <w:bCs/>
          <w:sz w:val="22"/>
          <w:szCs w:val="22"/>
        </w:rPr>
        <w:t>and/or their activities, sexing techniques for selection of transgenic insects and</w:t>
      </w:r>
    </w:p>
    <w:p w14:paraId="2D8D4A6F" w14:textId="77777777" w:rsidR="00515038" w:rsidRDefault="00515038" w:rsidP="00F952F7">
      <w:pPr>
        <w:shd w:val="clear" w:color="auto" w:fill="FFFFFF"/>
        <w:spacing w:after="100" w:afterAutospacing="1" w:line="240" w:lineRule="auto"/>
        <w:ind w:left="57" w:right="57"/>
        <w:outlineLvl w:val="2"/>
        <w:rPr>
          <w:bCs/>
          <w:sz w:val="22"/>
          <w:szCs w:val="22"/>
        </w:rPr>
      </w:pPr>
      <w:r w:rsidRPr="00515038">
        <w:rPr>
          <w:bCs/>
          <w:sz w:val="22"/>
          <w:szCs w:val="22"/>
        </w:rPr>
        <w:t xml:space="preserve">etc. </w:t>
      </w:r>
    </w:p>
    <w:p w14:paraId="174517C5" w14:textId="77777777" w:rsidR="00515038" w:rsidRDefault="00515038" w:rsidP="00F952F7">
      <w:pPr>
        <w:shd w:val="clear" w:color="auto" w:fill="FFFFFF"/>
        <w:spacing w:after="100" w:afterAutospacing="1" w:line="240" w:lineRule="auto"/>
        <w:ind w:left="57" w:right="57"/>
        <w:outlineLvl w:val="2"/>
        <w:rPr>
          <w:bCs/>
          <w:sz w:val="22"/>
          <w:szCs w:val="22"/>
        </w:rPr>
      </w:pPr>
      <w:r w:rsidRPr="00515038">
        <w:rPr>
          <w:bCs/>
          <w:sz w:val="22"/>
          <w:szCs w:val="22"/>
        </w:rPr>
        <w:t>Direct evidence of the integration and operation of the transgene is its</w:t>
      </w:r>
      <w:r>
        <w:rPr>
          <w:bCs/>
          <w:sz w:val="22"/>
          <w:szCs w:val="22"/>
        </w:rPr>
        <w:t xml:space="preserve"> </w:t>
      </w:r>
      <w:r w:rsidRPr="00515038">
        <w:rPr>
          <w:bCs/>
          <w:sz w:val="22"/>
          <w:szCs w:val="22"/>
        </w:rPr>
        <w:t>expression and synthesis of the target protein or other product. Selected</w:t>
      </w:r>
      <w:r>
        <w:rPr>
          <w:bCs/>
          <w:sz w:val="22"/>
          <w:szCs w:val="22"/>
        </w:rPr>
        <w:t xml:space="preserve"> </w:t>
      </w:r>
      <w:r w:rsidRPr="00515038">
        <w:rPr>
          <w:bCs/>
          <w:sz w:val="22"/>
          <w:szCs w:val="22"/>
        </w:rPr>
        <w:t>transgenic cells or individuals must be propagated.</w:t>
      </w:r>
    </w:p>
    <w:p w14:paraId="5F01D479" w14:textId="31B891C4" w:rsidR="00515038" w:rsidRPr="00515038" w:rsidRDefault="00515038" w:rsidP="00F952F7">
      <w:pPr>
        <w:shd w:val="clear" w:color="auto" w:fill="FFFFFF"/>
        <w:spacing w:after="100" w:afterAutospacing="1" w:line="240" w:lineRule="auto"/>
        <w:ind w:left="57" w:right="57"/>
        <w:outlineLvl w:val="2"/>
        <w:rPr>
          <w:bCs/>
          <w:sz w:val="22"/>
          <w:szCs w:val="22"/>
        </w:rPr>
      </w:pPr>
      <w:r w:rsidRPr="00515038">
        <w:rPr>
          <w:bCs/>
          <w:sz w:val="22"/>
          <w:szCs w:val="22"/>
        </w:rPr>
        <w:t xml:space="preserve"> Building on earlier</w:t>
      </w:r>
      <w:r>
        <w:rPr>
          <w:bCs/>
          <w:sz w:val="22"/>
          <w:szCs w:val="22"/>
        </w:rPr>
        <w:t xml:space="preserve"> </w:t>
      </w:r>
      <w:r w:rsidRPr="00515038">
        <w:rPr>
          <w:bCs/>
          <w:sz w:val="22"/>
          <w:szCs w:val="22"/>
        </w:rPr>
        <w:t>acquired knowledge of the courses "Plant Physiology" and "Biotechnology"</w:t>
      </w:r>
    </w:p>
    <w:p w14:paraId="13B568F9" w14:textId="12ACC4E1" w:rsidR="00515038" w:rsidRDefault="00515038" w:rsidP="00F952F7">
      <w:pPr>
        <w:shd w:val="clear" w:color="auto" w:fill="FFFFFF"/>
        <w:spacing w:after="100" w:afterAutospacing="1" w:line="240" w:lineRule="auto"/>
        <w:ind w:left="57" w:right="57"/>
        <w:outlineLvl w:val="2"/>
        <w:rPr>
          <w:bCs/>
          <w:sz w:val="22"/>
          <w:szCs w:val="22"/>
        </w:rPr>
      </w:pPr>
      <w:r w:rsidRPr="00515038">
        <w:rPr>
          <w:bCs/>
          <w:sz w:val="22"/>
          <w:szCs w:val="22"/>
        </w:rPr>
        <w:t>students independently master issues such as cloning</w:t>
      </w:r>
      <w:r>
        <w:rPr>
          <w:bCs/>
          <w:sz w:val="22"/>
          <w:szCs w:val="22"/>
        </w:rPr>
        <w:t xml:space="preserve"> </w:t>
      </w:r>
      <w:r w:rsidRPr="00515038">
        <w:rPr>
          <w:bCs/>
          <w:sz w:val="22"/>
          <w:szCs w:val="22"/>
        </w:rPr>
        <w:t>genetically modified organism, gemma- and embryoidogenesis in</w:t>
      </w:r>
      <w:r>
        <w:rPr>
          <w:bCs/>
          <w:sz w:val="22"/>
          <w:szCs w:val="22"/>
        </w:rPr>
        <w:t xml:space="preserve"> </w:t>
      </w:r>
      <w:r w:rsidRPr="00515038">
        <w:rPr>
          <w:bCs/>
          <w:sz w:val="22"/>
          <w:szCs w:val="22"/>
        </w:rPr>
        <w:t>tissue culture, micrografting of regenerants, etc.</w:t>
      </w:r>
    </w:p>
    <w:p w14:paraId="4DA737D4" w14:textId="77777777" w:rsidR="00CB2044" w:rsidRDefault="00CB2044" w:rsidP="00F952F7">
      <w:pPr>
        <w:shd w:val="clear" w:color="auto" w:fill="FFFFFF"/>
        <w:spacing w:after="100" w:afterAutospacing="1" w:line="240" w:lineRule="auto"/>
        <w:ind w:left="57" w:right="57" w:firstLine="720"/>
        <w:rPr>
          <w:rFonts w:eastAsia="Times New Roman" w:cs="Times New Roman"/>
          <w:sz w:val="22"/>
          <w:szCs w:val="22"/>
        </w:rPr>
      </w:pPr>
      <w:r>
        <w:rPr>
          <w:b/>
          <w:bCs/>
          <w:sz w:val="22"/>
          <w:szCs w:val="22"/>
        </w:rPr>
        <w:t>Lab 8.</w:t>
      </w:r>
      <w:r>
        <w:rPr>
          <w:bCs/>
          <w:sz w:val="22"/>
          <w:szCs w:val="22"/>
        </w:rPr>
        <w:t xml:space="preserve">  Theme </w:t>
      </w:r>
      <w:r>
        <w:rPr>
          <w:spacing w:val="-2"/>
          <w:sz w:val="22"/>
          <w:szCs w:val="22"/>
        </w:rPr>
        <w:t xml:space="preserve">Molecular Characterization of GMOs. </w:t>
      </w:r>
      <w:r>
        <w:rPr>
          <w:sz w:val="22"/>
          <w:szCs w:val="22"/>
        </w:rPr>
        <w:t>Polymerase chain reaction (PCR) in its various formats such as real-time PCR (qPCR).</w:t>
      </w:r>
      <w:r w:rsidRPr="00AA6743">
        <w:rPr>
          <w:rFonts w:eastAsia="Times New Roman" w:cs="Times New Roman"/>
          <w:sz w:val="22"/>
          <w:szCs w:val="22"/>
        </w:rPr>
        <w:t xml:space="preserve"> </w:t>
      </w:r>
    </w:p>
    <w:p w14:paraId="36A1A734" w14:textId="6F2A87C3" w:rsidR="00835CAD" w:rsidRDefault="00DB0CAB" w:rsidP="00F952F7">
      <w:pPr>
        <w:shd w:val="clear" w:color="auto" w:fill="FFFFFF"/>
        <w:spacing w:after="100" w:afterAutospacing="1" w:line="240" w:lineRule="auto"/>
        <w:ind w:left="57" w:right="57" w:firstLine="720"/>
        <w:rPr>
          <w:rFonts w:eastAsia="Times New Roman" w:cs="Times New Roman"/>
          <w:sz w:val="22"/>
          <w:szCs w:val="22"/>
        </w:rPr>
      </w:pPr>
      <w:r w:rsidRPr="00AA6743">
        <w:rPr>
          <w:rFonts w:eastAsia="Times New Roman" w:cs="Times New Roman"/>
          <w:sz w:val="22"/>
          <w:szCs w:val="22"/>
        </w:rPr>
        <w:t>Molecular characterization of GM crops is a full description of the structural information of the transgene and stability of the trait</w:t>
      </w:r>
      <w:r w:rsidR="00835CAD">
        <w:rPr>
          <w:rFonts w:eastAsia="Times New Roman" w:cs="Times New Roman"/>
          <w:sz w:val="22"/>
          <w:szCs w:val="22"/>
        </w:rPr>
        <w:t xml:space="preserve">.  </w:t>
      </w:r>
      <w:r w:rsidRPr="00AA6743">
        <w:rPr>
          <w:rFonts w:eastAsia="Times New Roman" w:cs="Times New Roman"/>
          <w:sz w:val="22"/>
          <w:szCs w:val="22"/>
        </w:rPr>
        <w:t xml:space="preserve">It is the foundation of all GM product safety assessments before </w:t>
      </w:r>
      <w:r w:rsidRPr="00AA6743">
        <w:rPr>
          <w:rFonts w:eastAsia="Times New Roman" w:cs="Times New Roman"/>
          <w:sz w:val="22"/>
          <w:szCs w:val="22"/>
        </w:rPr>
        <w:lastRenderedPageBreak/>
        <w:t>commercialization and also serves as a baseline for the development of detection and identification tools to satisfy traceability and labeling requirements (</w:t>
      </w:r>
      <w:hyperlink r:id="rId11" w:anchor="B55" w:history="1">
        <w:r w:rsidRPr="00AA6743">
          <w:rPr>
            <w:rStyle w:val="a3"/>
            <w:rFonts w:eastAsia="Times New Roman" w:cs="Times New Roman"/>
            <w:color w:val="auto"/>
            <w:sz w:val="22"/>
            <w:szCs w:val="22"/>
          </w:rPr>
          <w:t>European Parliament, 2003</w:t>
        </w:r>
      </w:hyperlink>
      <w:r w:rsidRPr="00AA6743">
        <w:rPr>
          <w:rFonts w:eastAsia="Times New Roman" w:cs="Times New Roman"/>
          <w:sz w:val="22"/>
          <w:szCs w:val="22"/>
        </w:rPr>
        <w:t>).</w:t>
      </w:r>
    </w:p>
    <w:p w14:paraId="24E65CF9" w14:textId="2710F48F" w:rsidR="00DB0CAB" w:rsidRDefault="00DB0CAB" w:rsidP="00F952F7">
      <w:pPr>
        <w:shd w:val="clear" w:color="auto" w:fill="FFFFFF"/>
        <w:spacing w:after="100" w:afterAutospacing="1" w:line="240" w:lineRule="auto"/>
        <w:ind w:left="57" w:right="57" w:firstLine="720"/>
        <w:rPr>
          <w:rFonts w:eastAsia="Times New Roman" w:cs="Times New Roman"/>
          <w:sz w:val="22"/>
          <w:szCs w:val="22"/>
        </w:rPr>
      </w:pPr>
      <w:r w:rsidRPr="00AA6743">
        <w:rPr>
          <w:rFonts w:eastAsia="Times New Roman" w:cs="Times New Roman"/>
          <w:sz w:val="22"/>
          <w:szCs w:val="22"/>
        </w:rPr>
        <w:t xml:space="preserve"> Stakeholders of both GM food and feed, must provide information on the genomic locus/loci modified, copy number of the inserted transgene, insertion site, and flanking regions.</w:t>
      </w:r>
    </w:p>
    <w:p w14:paraId="38ACAC31" w14:textId="77777777" w:rsidR="0005249B" w:rsidRDefault="00DB0CAB" w:rsidP="00F952F7">
      <w:pPr>
        <w:shd w:val="clear" w:color="auto" w:fill="FFFFFF"/>
        <w:spacing w:line="240" w:lineRule="auto"/>
        <w:ind w:left="57" w:right="57" w:firstLine="720"/>
        <w:rPr>
          <w:rFonts w:eastAsia="Times New Roman" w:cs="Times New Roman"/>
          <w:sz w:val="22"/>
          <w:szCs w:val="22"/>
        </w:rPr>
      </w:pPr>
      <w:r w:rsidRPr="00AA6743">
        <w:rPr>
          <w:rFonts w:eastAsia="Times New Roman" w:cs="Times New Roman"/>
          <w:sz w:val="22"/>
          <w:szCs w:val="22"/>
        </w:rPr>
        <w:t xml:space="preserve">Selection of low insertion copy number DNA transformants is preferred for the subsequent safety assessment process as it facilitates risk and hazard characterization. </w:t>
      </w:r>
    </w:p>
    <w:p w14:paraId="34897B19" w14:textId="19A3E339" w:rsidR="00DB0CAB" w:rsidRPr="00AA6743" w:rsidRDefault="00DB0CAB" w:rsidP="00F952F7">
      <w:pPr>
        <w:shd w:val="clear" w:color="auto" w:fill="FFFFFF"/>
        <w:spacing w:line="240" w:lineRule="auto"/>
        <w:ind w:left="57" w:right="57" w:firstLine="720"/>
        <w:rPr>
          <w:rFonts w:eastAsia="Times New Roman" w:cs="Times New Roman"/>
          <w:sz w:val="22"/>
          <w:szCs w:val="22"/>
        </w:rPr>
      </w:pPr>
      <w:r w:rsidRPr="00AA6743">
        <w:rPr>
          <w:rFonts w:eastAsia="Times New Roman" w:cs="Times New Roman"/>
          <w:sz w:val="22"/>
          <w:szCs w:val="22"/>
        </w:rPr>
        <w:t>The methods most commonly used to determinate the number of transgenes integrated have been Southern blot analysis and polymerase chain reaction (PCR), in its various formats such as real-time PCR (qPCR).</w:t>
      </w:r>
    </w:p>
    <w:p w14:paraId="3E3724C1" w14:textId="77777777" w:rsidR="0005249B" w:rsidRDefault="0005249B" w:rsidP="00F952F7">
      <w:pPr>
        <w:shd w:val="clear" w:color="auto" w:fill="FFFFFF"/>
        <w:spacing w:line="240" w:lineRule="auto"/>
        <w:ind w:left="57" w:right="57" w:firstLine="720"/>
        <w:rPr>
          <w:rFonts w:eastAsia="Times New Roman" w:cs="Times New Roman"/>
          <w:sz w:val="22"/>
          <w:szCs w:val="22"/>
        </w:rPr>
      </w:pPr>
      <w:r>
        <w:rPr>
          <w:rFonts w:eastAsia="Times New Roman" w:cs="Times New Roman"/>
          <w:sz w:val="22"/>
          <w:szCs w:val="22"/>
        </w:rPr>
        <w:t xml:space="preserve"> </w:t>
      </w:r>
      <w:r w:rsidR="00DB0CAB" w:rsidRPr="00AA6743">
        <w:rPr>
          <w:rFonts w:eastAsia="Times New Roman" w:cs="Times New Roman"/>
          <w:sz w:val="22"/>
          <w:szCs w:val="22"/>
        </w:rPr>
        <w:t>The Southern blot analysis involves a careful selection and broad screening of restriction enzymes and designing of probes, which in some cases dependent on prior sequence information of the transgene insertion</w:t>
      </w:r>
      <w:r>
        <w:rPr>
          <w:rFonts w:eastAsia="Times New Roman" w:cs="Times New Roman"/>
          <w:sz w:val="22"/>
          <w:szCs w:val="22"/>
        </w:rPr>
        <w:t>.</w:t>
      </w:r>
    </w:p>
    <w:p w14:paraId="1944423B" w14:textId="6D6328C5" w:rsidR="00DB0CAB" w:rsidRPr="00AA6743" w:rsidRDefault="00DB0CAB" w:rsidP="00F952F7">
      <w:pPr>
        <w:shd w:val="clear" w:color="auto" w:fill="FFFFFF"/>
        <w:spacing w:line="240" w:lineRule="auto"/>
        <w:ind w:left="57" w:right="57" w:firstLine="720"/>
        <w:rPr>
          <w:rFonts w:eastAsia="Times New Roman" w:cs="Times New Roman"/>
          <w:sz w:val="22"/>
          <w:szCs w:val="22"/>
        </w:rPr>
      </w:pPr>
      <w:r w:rsidRPr="00AA6743">
        <w:rPr>
          <w:rFonts w:eastAsia="Times New Roman" w:cs="Times New Roman"/>
          <w:sz w:val="22"/>
          <w:szCs w:val="22"/>
        </w:rPr>
        <w:t>However, the approach is relatively time-consuming and laborious, and also includes a manual interpretation process. In addition, the result may not accurately reflect the copy number of a transgene, if sequence rearrangements have occurred, which have affected the position(s) of the restriction enzyme recognition site(s) in the inserted transgene(s)).</w:t>
      </w:r>
    </w:p>
    <w:p w14:paraId="175FB1AA" w14:textId="77777777" w:rsidR="00CB2044" w:rsidRDefault="00CB2044" w:rsidP="00F952F7">
      <w:pPr>
        <w:shd w:val="clear" w:color="auto" w:fill="FFFFFF"/>
        <w:spacing w:after="100" w:afterAutospacing="1" w:line="240" w:lineRule="auto"/>
        <w:ind w:left="57" w:right="57"/>
        <w:outlineLvl w:val="2"/>
        <w:rPr>
          <w:b/>
          <w:bCs/>
          <w:sz w:val="22"/>
          <w:szCs w:val="22"/>
        </w:rPr>
      </w:pPr>
    </w:p>
    <w:p w14:paraId="58B79C92" w14:textId="3980A5A6" w:rsidR="0005249B" w:rsidRPr="0005249B" w:rsidRDefault="0005249B" w:rsidP="00F952F7">
      <w:pPr>
        <w:shd w:val="clear" w:color="auto" w:fill="FFFFFF"/>
        <w:spacing w:after="100" w:afterAutospacing="1" w:line="240" w:lineRule="auto"/>
        <w:ind w:left="57" w:right="57"/>
        <w:outlineLvl w:val="2"/>
        <w:rPr>
          <w:rFonts w:eastAsia="Times New Roman" w:cs="Times New Roman"/>
          <w:i/>
          <w:iCs/>
          <w:spacing w:val="-2"/>
          <w:sz w:val="22"/>
          <w:szCs w:val="22"/>
        </w:rPr>
      </w:pPr>
      <w:r>
        <w:rPr>
          <w:b/>
          <w:bCs/>
          <w:sz w:val="22"/>
          <w:szCs w:val="22"/>
        </w:rPr>
        <w:t xml:space="preserve">Lab </w:t>
      </w:r>
      <w:r w:rsidR="00303FE7">
        <w:rPr>
          <w:b/>
          <w:bCs/>
          <w:sz w:val="22"/>
          <w:szCs w:val="22"/>
        </w:rPr>
        <w:t>9</w:t>
      </w:r>
      <w:r>
        <w:rPr>
          <w:b/>
          <w:bCs/>
          <w:sz w:val="22"/>
          <w:szCs w:val="22"/>
        </w:rPr>
        <w:t>.</w:t>
      </w:r>
      <w:r>
        <w:rPr>
          <w:bCs/>
          <w:sz w:val="22"/>
          <w:szCs w:val="22"/>
        </w:rPr>
        <w:t xml:space="preserve">   </w:t>
      </w:r>
      <w:r w:rsidRPr="00835CAD">
        <w:rPr>
          <w:rFonts w:eastAsia="Times New Roman" w:cs="Times New Roman"/>
          <w:i/>
          <w:iCs/>
          <w:spacing w:val="-2"/>
          <w:sz w:val="22"/>
          <w:szCs w:val="22"/>
        </w:rPr>
        <w:t>Molecular Characterization of GMOs</w:t>
      </w:r>
      <w:r>
        <w:rPr>
          <w:rFonts w:eastAsia="Times New Roman" w:cs="Times New Roman"/>
          <w:i/>
          <w:iCs/>
          <w:spacing w:val="-2"/>
          <w:sz w:val="22"/>
          <w:szCs w:val="22"/>
        </w:rPr>
        <w:t>.</w:t>
      </w:r>
      <w:r w:rsidRPr="0005249B">
        <w:rPr>
          <w:rFonts w:eastAsia="Times New Roman" w:cs="Times New Roman"/>
          <w:sz w:val="22"/>
          <w:szCs w:val="22"/>
        </w:rPr>
        <w:t xml:space="preserve"> </w:t>
      </w:r>
      <w:r w:rsidR="00303FE7" w:rsidRPr="00303FE7">
        <w:rPr>
          <w:rFonts w:eastAsia="Times New Roman" w:cs="Times New Roman"/>
          <w:i/>
          <w:iCs/>
          <w:sz w:val="22"/>
          <w:szCs w:val="22"/>
        </w:rPr>
        <w:t>A qPCR-based assay</w:t>
      </w:r>
    </w:p>
    <w:p w14:paraId="6AAD843C" w14:textId="6524162C" w:rsidR="00DB0CAB" w:rsidRPr="00AA6743" w:rsidRDefault="00DB0CAB"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A qPCR-based assay can more accurately quantify the copy number of transgenes by comparing to an endogenous reference sequence (endogene), which has provided a simplified alternative to Southern blot analysis (</w:t>
      </w:r>
      <w:hyperlink r:id="rId12" w:anchor="B117" w:history="1">
        <w:r w:rsidRPr="00AA6743">
          <w:rPr>
            <w:rStyle w:val="a3"/>
            <w:rFonts w:eastAsia="Times New Roman" w:cs="Times New Roman"/>
            <w:color w:val="auto"/>
            <w:sz w:val="22"/>
            <w:szCs w:val="22"/>
          </w:rPr>
          <w:t>Li et al., 2017</w:t>
        </w:r>
      </w:hyperlink>
      <w:r w:rsidRPr="00AA6743">
        <w:rPr>
          <w:rFonts w:eastAsia="Times New Roman" w:cs="Times New Roman"/>
          <w:sz w:val="22"/>
          <w:szCs w:val="22"/>
        </w:rPr>
        <w:t>). However, identification of a single copy reference gene is occasionally difficult in crop species, due to ancestral whole genome duplications or due to polyploidy, causing complex structures and genetic redundancy (</w:t>
      </w:r>
      <w:hyperlink r:id="rId13" w:anchor="B154" w:history="1">
        <w:r w:rsidRPr="00AA6743">
          <w:rPr>
            <w:rStyle w:val="a3"/>
            <w:rFonts w:eastAsia="Times New Roman" w:cs="Times New Roman"/>
            <w:color w:val="auto"/>
            <w:sz w:val="22"/>
            <w:szCs w:val="22"/>
          </w:rPr>
          <w:t>Ren et al., 2018</w:t>
        </w:r>
      </w:hyperlink>
      <w:r w:rsidRPr="00AA6743">
        <w:rPr>
          <w:rFonts w:eastAsia="Times New Roman" w:cs="Times New Roman"/>
          <w:sz w:val="22"/>
          <w:szCs w:val="22"/>
        </w:rPr>
        <w:t>). To overcome the identification of a reference gene and dependency on DNA calibrations, droplet digital PCR (ddPCR), a method that identifies the absolute DNA copy number in a sample, has been proposed for determination of GM copy number</w:t>
      </w:r>
      <w:r w:rsidR="00E40631">
        <w:rPr>
          <w:rFonts w:eastAsia="Times New Roman" w:cs="Times New Roman"/>
          <w:sz w:val="22"/>
          <w:szCs w:val="22"/>
        </w:rPr>
        <w:t>.</w:t>
      </w:r>
      <w:r w:rsidRPr="00AA6743">
        <w:rPr>
          <w:rFonts w:eastAsia="Times New Roman" w:cs="Times New Roman"/>
          <w:sz w:val="22"/>
          <w:szCs w:val="22"/>
        </w:rPr>
        <w:t xml:space="preserve"> </w:t>
      </w:r>
      <w:r w:rsidR="00E40631">
        <w:rPr>
          <w:rFonts w:eastAsia="Times New Roman" w:cs="Times New Roman"/>
          <w:sz w:val="22"/>
          <w:szCs w:val="22"/>
        </w:rPr>
        <w:t>.</w:t>
      </w:r>
    </w:p>
    <w:p w14:paraId="090B2505" w14:textId="77777777" w:rsidR="00E40631" w:rsidRDefault="00E40631" w:rsidP="00F952F7">
      <w:pPr>
        <w:shd w:val="clear" w:color="auto" w:fill="FFFFFF"/>
        <w:spacing w:after="100" w:afterAutospacing="1" w:line="240" w:lineRule="auto"/>
        <w:ind w:left="57" w:right="57" w:firstLine="720"/>
        <w:rPr>
          <w:rFonts w:eastAsia="Times New Roman" w:cs="Times New Roman"/>
          <w:sz w:val="22"/>
          <w:szCs w:val="22"/>
        </w:rPr>
      </w:pPr>
      <w:r>
        <w:rPr>
          <w:rFonts w:eastAsia="Times New Roman" w:cs="Times New Roman"/>
          <w:sz w:val="22"/>
          <w:szCs w:val="22"/>
        </w:rPr>
        <w:t xml:space="preserve"> </w:t>
      </w:r>
      <w:r w:rsidR="00DB0CAB" w:rsidRPr="00AA6743">
        <w:rPr>
          <w:rFonts w:eastAsia="Times New Roman" w:cs="Times New Roman"/>
          <w:sz w:val="22"/>
          <w:szCs w:val="22"/>
        </w:rPr>
        <w:t xml:space="preserve">Following identification of low-copy number transformants, the precise location(s) of the transgene(s) in the crop genome is required to be identified. </w:t>
      </w:r>
    </w:p>
    <w:p w14:paraId="1DB6D17C" w14:textId="747F5D07" w:rsidR="00DB0CAB" w:rsidRPr="00AA6743" w:rsidRDefault="00DB0CAB" w:rsidP="00F952F7">
      <w:pPr>
        <w:shd w:val="clear" w:color="auto" w:fill="FFFFFF"/>
        <w:spacing w:after="100" w:afterAutospacing="1" w:line="240" w:lineRule="auto"/>
        <w:ind w:left="57" w:right="57" w:firstLine="720"/>
        <w:rPr>
          <w:rFonts w:eastAsia="Times New Roman" w:cs="Times New Roman"/>
          <w:sz w:val="22"/>
          <w:szCs w:val="22"/>
        </w:rPr>
      </w:pPr>
      <w:r w:rsidRPr="00AA6743">
        <w:rPr>
          <w:rFonts w:eastAsia="Times New Roman" w:cs="Times New Roman"/>
          <w:sz w:val="22"/>
          <w:szCs w:val="22"/>
        </w:rPr>
        <w:t>DNA sequencing approaches have been used for this purpose, and this process may also identify backbone sequence(s), which were not intended to be introduced from the transformation vector into the host genome (</w:t>
      </w:r>
      <w:hyperlink r:id="rId14" w:anchor="B108" w:history="1">
        <w:r w:rsidRPr="00AA6743">
          <w:rPr>
            <w:rStyle w:val="a3"/>
            <w:rFonts w:eastAsia="Times New Roman" w:cs="Times New Roman"/>
            <w:color w:val="auto"/>
            <w:sz w:val="22"/>
            <w:szCs w:val="22"/>
          </w:rPr>
          <w:t>Kononov et al., 1997</w:t>
        </w:r>
      </w:hyperlink>
      <w:r w:rsidRPr="00AA6743">
        <w:rPr>
          <w:rFonts w:eastAsia="Times New Roman" w:cs="Times New Roman"/>
          <w:sz w:val="22"/>
          <w:szCs w:val="22"/>
        </w:rPr>
        <w:t>). The method traditionally used for this purpose was based on Sanger sequencing (</w:t>
      </w:r>
      <w:hyperlink r:id="rId15" w:anchor="B84" w:history="1">
        <w:r w:rsidRPr="00AA6743">
          <w:rPr>
            <w:rStyle w:val="a3"/>
            <w:rFonts w:eastAsia="Times New Roman" w:cs="Times New Roman"/>
            <w:color w:val="auto"/>
            <w:sz w:val="22"/>
            <w:szCs w:val="22"/>
          </w:rPr>
          <w:t>Guttikonda et al., 2016</w:t>
        </w:r>
      </w:hyperlink>
      <w:r w:rsidRPr="00AA6743">
        <w:rPr>
          <w:rFonts w:eastAsia="Times New Roman" w:cs="Times New Roman"/>
          <w:sz w:val="22"/>
          <w:szCs w:val="22"/>
        </w:rPr>
        <w:t>). However, the second-generation sequencing (SGS) technologies have been proposed as a new tool for molecular characterization of GM crops, due to a larger sequencing capacity and potentially higher accuracy of the resulting assembled sequence (</w:t>
      </w:r>
      <w:r w:rsidRPr="00F952F7">
        <w:rPr>
          <w:rFonts w:eastAsia="Times New Roman" w:cs="Times New Roman"/>
          <w:sz w:val="22"/>
          <w:szCs w:val="22"/>
        </w:rPr>
        <w:t>Kovalic et al., 2012</w:t>
      </w:r>
      <w:r w:rsidRPr="00AA6743">
        <w:rPr>
          <w:rFonts w:eastAsia="Times New Roman" w:cs="Times New Roman"/>
          <w:sz w:val="22"/>
          <w:szCs w:val="22"/>
        </w:rPr>
        <w:t>; </w:t>
      </w:r>
      <w:hyperlink r:id="rId16" w:anchor="B205" w:history="1">
        <w:r w:rsidRPr="00AA6743">
          <w:rPr>
            <w:rStyle w:val="a3"/>
            <w:rFonts w:eastAsia="Times New Roman" w:cs="Times New Roman"/>
            <w:color w:val="auto"/>
            <w:sz w:val="22"/>
            <w:szCs w:val="22"/>
          </w:rPr>
          <w:t>Yang et al., 2013</w:t>
        </w:r>
      </w:hyperlink>
      <w:r w:rsidRPr="00AA6743">
        <w:rPr>
          <w:rFonts w:eastAsia="Times New Roman" w:cs="Times New Roman"/>
          <w:sz w:val="22"/>
          <w:szCs w:val="22"/>
        </w:rPr>
        <w:t>; </w:t>
      </w:r>
      <w:hyperlink r:id="rId17" w:anchor="B145" w:history="1">
        <w:r w:rsidRPr="00AA6743">
          <w:rPr>
            <w:rStyle w:val="a3"/>
            <w:rFonts w:eastAsia="Times New Roman" w:cs="Times New Roman"/>
            <w:color w:val="auto"/>
            <w:sz w:val="22"/>
            <w:szCs w:val="22"/>
          </w:rPr>
          <w:t>Pauwels et al., 2015</w:t>
        </w:r>
      </w:hyperlink>
      <w:r w:rsidRPr="00AA6743">
        <w:rPr>
          <w:rFonts w:eastAsia="Times New Roman" w:cs="Times New Roman"/>
          <w:sz w:val="22"/>
          <w:szCs w:val="22"/>
        </w:rPr>
        <w:t>; </w:t>
      </w:r>
      <w:hyperlink r:id="rId18" w:anchor="B5" w:history="1">
        <w:r w:rsidRPr="00AA6743">
          <w:rPr>
            <w:rStyle w:val="a3"/>
            <w:rFonts w:eastAsia="Times New Roman" w:cs="Times New Roman"/>
            <w:color w:val="auto"/>
            <w:sz w:val="22"/>
            <w:szCs w:val="22"/>
          </w:rPr>
          <w:t>Arulandhu et al., 2016</w:t>
        </w:r>
      </w:hyperlink>
      <w:r w:rsidRPr="00AA6743">
        <w:rPr>
          <w:rFonts w:eastAsia="Times New Roman" w:cs="Times New Roman"/>
          <w:sz w:val="22"/>
          <w:szCs w:val="22"/>
        </w:rPr>
        <w:t>).</w:t>
      </w:r>
    </w:p>
    <w:p w14:paraId="098F33CE" w14:textId="6883C8D2" w:rsidR="00DB0CAB" w:rsidRPr="00AA6743" w:rsidRDefault="00DB0CAB"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The SGS approaches can increase speed, scalability, and automation in the selection of potential valuable events on the basis of their molecular profile, facilitating post-transformation screening (</w:t>
      </w:r>
      <w:hyperlink r:id="rId19" w:anchor="B109" w:history="1">
        <w:r w:rsidRPr="00AA6743">
          <w:rPr>
            <w:rStyle w:val="a3"/>
            <w:rFonts w:eastAsia="Times New Roman" w:cs="Times New Roman"/>
            <w:color w:val="auto"/>
            <w:sz w:val="22"/>
            <w:szCs w:val="22"/>
          </w:rPr>
          <w:t>Kovalic et al., 2012</w:t>
        </w:r>
      </w:hyperlink>
      <w:r w:rsidRPr="00AA6743">
        <w:rPr>
          <w:rFonts w:eastAsia="Times New Roman" w:cs="Times New Roman"/>
          <w:sz w:val="22"/>
          <w:szCs w:val="22"/>
        </w:rPr>
        <w:t>; </w:t>
      </w:r>
      <w:r w:rsidRPr="00F952F7">
        <w:rPr>
          <w:rFonts w:eastAsia="Times New Roman" w:cs="Times New Roman"/>
          <w:sz w:val="22"/>
          <w:szCs w:val="22"/>
        </w:rPr>
        <w:t>Pauwels et al., 2015</w:t>
      </w:r>
      <w:r w:rsidRPr="00AA6743">
        <w:rPr>
          <w:rFonts w:eastAsia="Times New Roman" w:cs="Times New Roman"/>
          <w:sz w:val="22"/>
          <w:szCs w:val="22"/>
        </w:rPr>
        <w:t>; </w:t>
      </w:r>
      <w:hyperlink r:id="rId20" w:anchor="B84" w:history="1">
        <w:r w:rsidRPr="00AA6743">
          <w:rPr>
            <w:rStyle w:val="a3"/>
            <w:rFonts w:eastAsia="Times New Roman" w:cs="Times New Roman"/>
            <w:color w:val="auto"/>
            <w:sz w:val="22"/>
            <w:szCs w:val="22"/>
          </w:rPr>
          <w:t>Guttikonda et al., 2016</w:t>
        </w:r>
      </w:hyperlink>
      <w:r w:rsidRPr="00AA6743">
        <w:rPr>
          <w:rFonts w:eastAsia="Times New Roman" w:cs="Times New Roman"/>
          <w:sz w:val="22"/>
          <w:szCs w:val="22"/>
        </w:rPr>
        <w:t>). However, these technologies do not directly provide information about the position of the insertion(s) in native DNA, due to short read lengths (50–400 base pairs) (</w:t>
      </w:r>
      <w:hyperlink r:id="rId21" w:anchor="B81" w:history="1">
        <w:r w:rsidRPr="00AA6743">
          <w:rPr>
            <w:rStyle w:val="a3"/>
            <w:rFonts w:eastAsia="Times New Roman" w:cs="Times New Roman"/>
            <w:color w:val="auto"/>
            <w:sz w:val="22"/>
            <w:szCs w:val="22"/>
          </w:rPr>
          <w:t>Goodwin et al., 2016</w:t>
        </w:r>
      </w:hyperlink>
      <w:r w:rsidRPr="00AA6743">
        <w:rPr>
          <w:rFonts w:eastAsia="Times New Roman" w:cs="Times New Roman"/>
          <w:sz w:val="22"/>
          <w:szCs w:val="22"/>
        </w:rPr>
        <w:t>), while transgenic constructs are typically thousands of base pairs. A computational process for alignment and/or assembly of the short sequencing reads is essential for the molecular characterization purposes, and repetitive elements commonly found in plant genomes can generate problems for the alignment/assembly procedure (</w:t>
      </w:r>
      <w:hyperlink r:id="rId22" w:anchor="B118" w:history="1">
        <w:r w:rsidRPr="00AA6743">
          <w:rPr>
            <w:rStyle w:val="a3"/>
            <w:rFonts w:eastAsia="Times New Roman" w:cs="Times New Roman"/>
            <w:color w:val="auto"/>
            <w:sz w:val="22"/>
            <w:szCs w:val="22"/>
          </w:rPr>
          <w:t>Liang et al., 2014</w:t>
        </w:r>
      </w:hyperlink>
      <w:r w:rsidRPr="00AA6743">
        <w:rPr>
          <w:rFonts w:eastAsia="Times New Roman" w:cs="Times New Roman"/>
          <w:sz w:val="22"/>
          <w:szCs w:val="22"/>
        </w:rPr>
        <w:t>).</w:t>
      </w:r>
    </w:p>
    <w:p w14:paraId="55C30A53" w14:textId="77777777" w:rsidR="00DB0CAB" w:rsidRPr="00AA6743" w:rsidRDefault="00DB0CAB"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Recently, single-molecule sequencing, also termed third-generation sequencing (TGS) platforms, have been commercialized allowing a large increase in read length up to tens of thousands of bases per read (</w:t>
      </w:r>
      <w:hyperlink r:id="rId23" w:anchor="B121" w:history="1">
        <w:r w:rsidRPr="00AA6743">
          <w:rPr>
            <w:rStyle w:val="a3"/>
            <w:rFonts w:eastAsia="Times New Roman" w:cs="Times New Roman"/>
            <w:color w:val="auto"/>
            <w:sz w:val="22"/>
            <w:szCs w:val="22"/>
          </w:rPr>
          <w:t xml:space="preserve">Loose et </w:t>
        </w:r>
        <w:r w:rsidRPr="00AA6743">
          <w:rPr>
            <w:rStyle w:val="a3"/>
            <w:rFonts w:eastAsia="Times New Roman" w:cs="Times New Roman"/>
            <w:color w:val="auto"/>
            <w:sz w:val="22"/>
            <w:szCs w:val="22"/>
          </w:rPr>
          <w:lastRenderedPageBreak/>
          <w:t>al., 2016</w:t>
        </w:r>
      </w:hyperlink>
      <w:r w:rsidRPr="00AA6743">
        <w:rPr>
          <w:rFonts w:eastAsia="Times New Roman" w:cs="Times New Roman"/>
          <w:sz w:val="22"/>
          <w:szCs w:val="22"/>
        </w:rPr>
        <w:t>). Read length is limited by the input DNA fragment size, but over 300 kb have been reported (</w:t>
      </w:r>
      <w:hyperlink r:id="rId24" w:anchor="B102" w:history="1">
        <w:r w:rsidRPr="00AA6743">
          <w:rPr>
            <w:rStyle w:val="a3"/>
            <w:rFonts w:eastAsia="Times New Roman" w:cs="Times New Roman"/>
            <w:color w:val="auto"/>
            <w:sz w:val="22"/>
            <w:szCs w:val="22"/>
          </w:rPr>
          <w:t>Jain et al., 2016</w:t>
        </w:r>
      </w:hyperlink>
      <w:r w:rsidRPr="00AA6743">
        <w:rPr>
          <w:rFonts w:eastAsia="Times New Roman" w:cs="Times New Roman"/>
          <w:sz w:val="22"/>
          <w:szCs w:val="22"/>
        </w:rPr>
        <w:t>). The increment in read lengths up to tens of thousands can facilitate a more reliable GM characterization process, by extending the sequence reads of the flanking regions present in the captured fragments and potentially solving alignment problems.</w:t>
      </w:r>
    </w:p>
    <w:p w14:paraId="366FFD9A" w14:textId="77777777" w:rsidR="00DB0CAB" w:rsidRPr="00AA6743" w:rsidRDefault="00DB0CAB" w:rsidP="00F952F7">
      <w:pPr>
        <w:shd w:val="clear" w:color="auto" w:fill="FFFFFF"/>
        <w:spacing w:after="100" w:afterAutospacing="1" w:line="240" w:lineRule="auto"/>
        <w:ind w:left="57" w:right="57" w:firstLine="720"/>
        <w:rPr>
          <w:rFonts w:eastAsia="Times New Roman" w:cs="Times New Roman"/>
          <w:sz w:val="22"/>
          <w:szCs w:val="22"/>
        </w:rPr>
      </w:pPr>
      <w:r w:rsidRPr="00AA6743">
        <w:rPr>
          <w:rFonts w:eastAsia="Times New Roman" w:cs="Times New Roman"/>
          <w:sz w:val="22"/>
          <w:szCs w:val="22"/>
        </w:rPr>
        <w:t>The most common TGS platforms are products from Pacific Biosciences (PacBio, Menlo Park, CA, US) and Oxford Nanopore Technologies (ONT Oxford Science Park, Oxford). PacBio uses a sequencing-by-synthesis method to capture a single DNA molecule and a circular consensus sequence (CCS) to increase accuracy. The CCS uses a circular DNA template by ligating hairpin adaptors to both ends of target double-stranded DNA, so the DNA template is sequenced multiple times to generate a continuous long read (</w:t>
      </w:r>
      <w:hyperlink r:id="rId25" w:anchor="B197" w:history="1">
        <w:r w:rsidRPr="00AA6743">
          <w:rPr>
            <w:rStyle w:val="a3"/>
            <w:rFonts w:eastAsia="Times New Roman" w:cs="Times New Roman"/>
            <w:color w:val="auto"/>
            <w:sz w:val="22"/>
            <w:szCs w:val="22"/>
          </w:rPr>
          <w:t>Weirather et al., 2017</w:t>
        </w:r>
      </w:hyperlink>
      <w:r w:rsidRPr="00AA6743">
        <w:rPr>
          <w:rFonts w:eastAsia="Times New Roman" w:cs="Times New Roman"/>
          <w:sz w:val="22"/>
          <w:szCs w:val="22"/>
        </w:rPr>
        <w:t>). Nanopore sequencing, uses nanopores to sequence native single-stranded DNA, by measuring the changes in an electric current passed across the pore as the DNA bases pass through, disrupting the current to different levels with different nucleotides (</w:t>
      </w:r>
      <w:hyperlink r:id="rId26" w:anchor="B76" w:history="1">
        <w:r w:rsidRPr="00AA6743">
          <w:rPr>
            <w:rStyle w:val="a3"/>
            <w:rFonts w:eastAsia="Times New Roman" w:cs="Times New Roman"/>
            <w:color w:val="auto"/>
            <w:sz w:val="22"/>
            <w:szCs w:val="22"/>
          </w:rPr>
          <w:t>Giordano et al., 2017</w:t>
        </w:r>
      </w:hyperlink>
      <w:r w:rsidRPr="00AA6743">
        <w:rPr>
          <w:rFonts w:eastAsia="Times New Roman" w:cs="Times New Roman"/>
          <w:sz w:val="22"/>
          <w:szCs w:val="22"/>
        </w:rPr>
        <w:t>).</w:t>
      </w:r>
    </w:p>
    <w:p w14:paraId="5C69E1E6" w14:textId="77777777" w:rsidR="00E81FE7" w:rsidRPr="00AA6743" w:rsidRDefault="00E81FE7"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Nanopore sequencing offers potential benefits in molecular characterization of GM products compared with PacBio, since it delivers raw data in real-time, is relatively easy to manipulate, and has low setup costs. The MinION from ONT is a portable device that has been successfully assessed for detection of unauthorized GM products (</w:t>
      </w:r>
      <w:hyperlink r:id="rId27" w:anchor="B67" w:history="1">
        <w:r w:rsidRPr="00AA6743">
          <w:rPr>
            <w:rStyle w:val="a3"/>
            <w:rFonts w:eastAsia="Times New Roman" w:cs="Times New Roman"/>
            <w:color w:val="auto"/>
            <w:sz w:val="22"/>
            <w:szCs w:val="22"/>
          </w:rPr>
          <w:t>Fraiture et al., 2018</w:t>
        </w:r>
      </w:hyperlink>
      <w:r w:rsidRPr="00AA6743">
        <w:rPr>
          <w:rFonts w:eastAsia="Times New Roman" w:cs="Times New Roman"/>
          <w:sz w:val="22"/>
          <w:szCs w:val="22"/>
        </w:rPr>
        <w:t>). Further assessment demonstrated the capability of the MinION to determine the full molecular characterization of three transgenic crops (ryegrass, canola and clover) within 48 hours.</w:t>
      </w:r>
    </w:p>
    <w:p w14:paraId="012B5609" w14:textId="66F3D98E" w:rsidR="00E81FE7" w:rsidRPr="00AA6743" w:rsidRDefault="00E81FE7" w:rsidP="00F952F7">
      <w:pPr>
        <w:shd w:val="clear" w:color="auto" w:fill="FFFFFF"/>
        <w:spacing w:after="100" w:afterAutospacing="1" w:line="240" w:lineRule="auto"/>
        <w:ind w:left="57" w:right="57"/>
        <w:outlineLvl w:val="2"/>
        <w:rPr>
          <w:rFonts w:eastAsia="Times New Roman" w:cs="Times New Roman"/>
          <w:spacing w:val="-2"/>
          <w:sz w:val="22"/>
          <w:szCs w:val="22"/>
        </w:rPr>
      </w:pPr>
      <w:r w:rsidRPr="00AA6743">
        <w:rPr>
          <w:rFonts w:eastAsia="Times New Roman" w:cs="Times New Roman"/>
          <w:sz w:val="22"/>
          <w:szCs w:val="22"/>
        </w:rPr>
        <w:t>Although, new guidelines are emerging from regulatory bodies to generate pre-market submission of data using whole genome sequencing (</w:t>
      </w:r>
      <w:hyperlink r:id="rId28" w:anchor="B89" w:history="1">
        <w:r w:rsidRPr="00AA6743">
          <w:rPr>
            <w:rStyle w:val="a3"/>
            <w:rFonts w:eastAsia="Times New Roman" w:cs="Times New Roman"/>
            <w:color w:val="auto"/>
            <w:sz w:val="22"/>
            <w:szCs w:val="22"/>
          </w:rPr>
          <w:t>Health Canada, 2019</w:t>
        </w:r>
      </w:hyperlink>
      <w:r w:rsidRPr="00AA6743">
        <w:rPr>
          <w:rFonts w:eastAsia="Times New Roman" w:cs="Times New Roman"/>
          <w:sz w:val="22"/>
          <w:szCs w:val="22"/>
        </w:rPr>
        <w:t>) and NGS (</w:t>
      </w:r>
      <w:hyperlink r:id="rId29" w:anchor="B185" w:history="1">
        <w:r w:rsidRPr="00AA6743">
          <w:rPr>
            <w:rStyle w:val="a3"/>
            <w:rFonts w:eastAsia="Times New Roman" w:cs="Times New Roman"/>
            <w:color w:val="auto"/>
            <w:sz w:val="22"/>
            <w:szCs w:val="22"/>
          </w:rPr>
          <w:t>UCD Centre for Food Safety et al., 2018</w:t>
        </w:r>
      </w:hyperlink>
      <w:r w:rsidRPr="00AA6743">
        <w:rPr>
          <w:rFonts w:eastAsia="Times New Roman" w:cs="Times New Roman"/>
          <w:sz w:val="22"/>
          <w:szCs w:val="22"/>
        </w:rPr>
        <w:t>). Sequencing approaches are typically being used in tandem, for example Sanger sequencing with SGS or SGS with TGS, for verification and validation purposes during risk assessment of GM crops</w:t>
      </w:r>
      <w:r w:rsidRPr="00AA6743">
        <w:rPr>
          <w:rFonts w:eastAsia="Times New Roman" w:cs="Times New Roman"/>
          <w:spacing w:val="-2"/>
          <w:sz w:val="22"/>
          <w:szCs w:val="22"/>
        </w:rPr>
        <w:t xml:space="preserve"> GM Traceability</w:t>
      </w:r>
    </w:p>
    <w:p w14:paraId="76904BF1" w14:textId="77777777" w:rsidR="00E81FE7" w:rsidRPr="00AA6743" w:rsidRDefault="00E81FE7"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GM traceability describes a system that enables tracking of GM food/feed products at all stages of the supply chain (</w:t>
      </w:r>
      <w:hyperlink r:id="rId30" w:anchor="B78" w:history="1">
        <w:r w:rsidRPr="00AA6743">
          <w:rPr>
            <w:rStyle w:val="a3"/>
            <w:rFonts w:eastAsia="Times New Roman" w:cs="Times New Roman"/>
            <w:color w:val="auto"/>
            <w:sz w:val="22"/>
            <w:szCs w:val="22"/>
          </w:rPr>
          <w:t>Giraldo et al., 2019</w:t>
        </w:r>
      </w:hyperlink>
      <w:r w:rsidRPr="00AA6743">
        <w:rPr>
          <w:rFonts w:eastAsia="Times New Roman" w:cs="Times New Roman"/>
          <w:sz w:val="22"/>
          <w:szCs w:val="22"/>
        </w:rPr>
        <w:t>). Detection methods for GM products in different matrixes or substrates, such as grain, flour and forage, are not only important to ensure legality and traceability, but also to comply with GM labeling regulations (</w:t>
      </w:r>
      <w:hyperlink r:id="rId31" w:anchor="B55" w:history="1">
        <w:r w:rsidRPr="00AA6743">
          <w:rPr>
            <w:rStyle w:val="a3"/>
            <w:rFonts w:eastAsia="Times New Roman" w:cs="Times New Roman"/>
            <w:color w:val="auto"/>
            <w:sz w:val="22"/>
            <w:szCs w:val="22"/>
          </w:rPr>
          <w:t>European Parliament, 2003</w:t>
        </w:r>
      </w:hyperlink>
      <w:r w:rsidRPr="00AA6743">
        <w:rPr>
          <w:rFonts w:eastAsia="Times New Roman" w:cs="Times New Roman"/>
          <w:sz w:val="22"/>
          <w:szCs w:val="22"/>
        </w:rPr>
        <w:t>).</w:t>
      </w:r>
    </w:p>
    <w:p w14:paraId="18BE50FE" w14:textId="77777777" w:rsidR="00E81FE7" w:rsidRPr="00AA6743" w:rsidRDefault="00E81FE7"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Methods for GM detection and identification usually rely on certified reference materials that are in powdered form, however, routine detection must be performed in different agricultural and food products (</w:t>
      </w:r>
      <w:hyperlink r:id="rId32" w:anchor="B26" w:history="1">
        <w:r w:rsidRPr="00AA6743">
          <w:rPr>
            <w:rStyle w:val="a3"/>
            <w:rFonts w:eastAsia="Times New Roman" w:cs="Times New Roman"/>
            <w:color w:val="auto"/>
            <w:sz w:val="22"/>
            <w:szCs w:val="22"/>
          </w:rPr>
          <w:t>Cankar et al., 2006</w:t>
        </w:r>
      </w:hyperlink>
      <w:r w:rsidRPr="00AA6743">
        <w:rPr>
          <w:rFonts w:eastAsia="Times New Roman" w:cs="Times New Roman"/>
          <w:sz w:val="22"/>
          <w:szCs w:val="22"/>
        </w:rPr>
        <w:t>). The selection of DNA extraction protocols is of crucial importance, since the DNA can be present in low amounts, carrying inhibitors or degraded (</w:t>
      </w:r>
      <w:hyperlink r:id="rId33" w:anchor="B164" w:history="1">
        <w:r w:rsidRPr="00AA6743">
          <w:rPr>
            <w:rStyle w:val="a3"/>
            <w:rFonts w:eastAsia="Times New Roman" w:cs="Times New Roman"/>
            <w:color w:val="auto"/>
            <w:sz w:val="22"/>
            <w:szCs w:val="22"/>
          </w:rPr>
          <w:t>SanJuan-Badillo et al., 2014</w:t>
        </w:r>
      </w:hyperlink>
      <w:r w:rsidRPr="00AA6743">
        <w:rPr>
          <w:rFonts w:eastAsia="Times New Roman" w:cs="Times New Roman"/>
          <w:sz w:val="22"/>
          <w:szCs w:val="22"/>
        </w:rPr>
        <w:t>). Therefore, the extraction method should be evaluated for each agricultural product, guaranteeing high DNA yield and purity (</w:t>
      </w:r>
      <w:hyperlink r:id="rId34" w:anchor="B183" w:history="1">
        <w:r w:rsidRPr="00AA6743">
          <w:rPr>
            <w:rStyle w:val="a3"/>
            <w:rFonts w:eastAsia="Times New Roman" w:cs="Times New Roman"/>
            <w:color w:val="auto"/>
            <w:sz w:val="22"/>
            <w:szCs w:val="22"/>
          </w:rPr>
          <w:t>Turkec et al., 2015</w:t>
        </w:r>
      </w:hyperlink>
      <w:r w:rsidRPr="00AA6743">
        <w:rPr>
          <w:rFonts w:eastAsia="Times New Roman" w:cs="Times New Roman"/>
          <w:sz w:val="22"/>
          <w:szCs w:val="22"/>
        </w:rPr>
        <w:t>).</w:t>
      </w:r>
    </w:p>
    <w:p w14:paraId="5835E9A1" w14:textId="77777777" w:rsidR="00E81FE7" w:rsidRPr="00AA6743" w:rsidRDefault="00E81FE7"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The method chosen to comply to traceability and labeling requirements, should be sensitive enough to detect the transgene(s) at levels below the corresponding jurisdiction tolerance threshold (e.g., 5% in US, 1% AU, and 0.9% in EU) (</w:t>
      </w:r>
      <w:hyperlink r:id="rId35" w:anchor="B152" w:history="1">
        <w:r w:rsidRPr="00AA6743">
          <w:rPr>
            <w:rStyle w:val="a3"/>
            <w:rFonts w:eastAsia="Times New Roman" w:cs="Times New Roman"/>
            <w:color w:val="auto"/>
            <w:sz w:val="22"/>
            <w:szCs w:val="22"/>
          </w:rPr>
          <w:t>Ramessar et al., 2010</w:t>
        </w:r>
      </w:hyperlink>
      <w:r w:rsidRPr="00AA6743">
        <w:rPr>
          <w:rFonts w:eastAsia="Times New Roman" w:cs="Times New Roman"/>
          <w:sz w:val="22"/>
          <w:szCs w:val="22"/>
        </w:rPr>
        <w:t>). Additionally, it should be able to detect the transgene(s) from raw agricultural commodities entering the feed production chain. For instance, fresh leaves, dry leaves (hay), pollen, seeds, tillers or stems, and forage that could enter the feed chain as unprocessed material (</w:t>
      </w:r>
      <w:hyperlink r:id="rId36" w:anchor="B11" w:history="1">
        <w:r w:rsidRPr="00AA6743">
          <w:rPr>
            <w:rStyle w:val="a3"/>
            <w:rFonts w:eastAsia="Times New Roman" w:cs="Times New Roman"/>
            <w:color w:val="auto"/>
            <w:sz w:val="22"/>
            <w:szCs w:val="22"/>
          </w:rPr>
          <w:t>Ardizzone et al., 2018</w:t>
        </w:r>
      </w:hyperlink>
      <w:r w:rsidRPr="00AA6743">
        <w:rPr>
          <w:rFonts w:eastAsia="Times New Roman" w:cs="Times New Roman"/>
          <w:sz w:val="22"/>
          <w:szCs w:val="22"/>
        </w:rPr>
        <w:t>; </w:t>
      </w:r>
      <w:hyperlink r:id="rId37" w:anchor="B78" w:history="1">
        <w:r w:rsidRPr="00AA6743">
          <w:rPr>
            <w:rStyle w:val="a3"/>
            <w:rFonts w:eastAsia="Times New Roman" w:cs="Times New Roman"/>
            <w:color w:val="auto"/>
            <w:sz w:val="22"/>
            <w:szCs w:val="22"/>
          </w:rPr>
          <w:t>Giraldo et al., 2019</w:t>
        </w:r>
      </w:hyperlink>
      <w:r w:rsidRPr="00AA6743">
        <w:rPr>
          <w:rFonts w:eastAsia="Times New Roman" w:cs="Times New Roman"/>
          <w:sz w:val="22"/>
          <w:szCs w:val="22"/>
        </w:rPr>
        <w:t>).</w:t>
      </w:r>
    </w:p>
    <w:p w14:paraId="275098A9" w14:textId="77777777" w:rsidR="00E81FE7" w:rsidRPr="00AA6743" w:rsidRDefault="00E81FE7" w:rsidP="00F952F7">
      <w:pPr>
        <w:shd w:val="clear" w:color="auto" w:fill="FFFFFF"/>
        <w:spacing w:after="100" w:afterAutospacing="1" w:line="240" w:lineRule="auto"/>
        <w:ind w:left="57" w:right="57"/>
        <w:rPr>
          <w:rFonts w:eastAsia="Times New Roman" w:cs="Times New Roman"/>
          <w:sz w:val="22"/>
          <w:szCs w:val="22"/>
        </w:rPr>
      </w:pPr>
      <w:r w:rsidRPr="00AA6743">
        <w:rPr>
          <w:rFonts w:eastAsia="Times New Roman" w:cs="Times New Roman"/>
          <w:sz w:val="22"/>
          <w:szCs w:val="22"/>
        </w:rPr>
        <w:t>Currently, qPCR is the standard method used in national reference laboratories for detection and quantification of GM events (</w:t>
      </w:r>
      <w:hyperlink r:id="rId38" w:anchor="B35" w:history="1">
        <w:r w:rsidRPr="00AA6743">
          <w:rPr>
            <w:rStyle w:val="a3"/>
            <w:rFonts w:eastAsia="Times New Roman" w:cs="Times New Roman"/>
            <w:color w:val="auto"/>
            <w:sz w:val="22"/>
            <w:szCs w:val="22"/>
          </w:rPr>
          <w:t>Dalmira et al., 2016</w:t>
        </w:r>
      </w:hyperlink>
      <w:r w:rsidRPr="00AA6743">
        <w:rPr>
          <w:rFonts w:eastAsia="Times New Roman" w:cs="Times New Roman"/>
          <w:sz w:val="22"/>
          <w:szCs w:val="22"/>
        </w:rPr>
        <w:t>). The requirement for reference material to be used as calibrants, which sometimes are not commercially available, limits its effectiveness (</w:t>
      </w:r>
      <w:hyperlink r:id="rId39" w:anchor="B44" w:history="1">
        <w:r w:rsidRPr="00AA6743">
          <w:rPr>
            <w:rStyle w:val="a3"/>
            <w:rFonts w:eastAsia="Times New Roman" w:cs="Times New Roman"/>
            <w:color w:val="auto"/>
            <w:sz w:val="22"/>
            <w:szCs w:val="22"/>
          </w:rPr>
          <w:t>Dobnik et al., 2016</w:t>
        </w:r>
      </w:hyperlink>
      <w:r w:rsidRPr="00AA6743">
        <w:rPr>
          <w:rFonts w:eastAsia="Times New Roman" w:cs="Times New Roman"/>
          <w:sz w:val="22"/>
          <w:szCs w:val="22"/>
        </w:rPr>
        <w:t>; </w:t>
      </w:r>
      <w:hyperlink r:id="rId40" w:anchor="B35" w:history="1">
        <w:r w:rsidRPr="00AA6743">
          <w:rPr>
            <w:rStyle w:val="a3"/>
            <w:rFonts w:eastAsia="Times New Roman" w:cs="Times New Roman"/>
            <w:color w:val="auto"/>
            <w:sz w:val="22"/>
            <w:szCs w:val="22"/>
          </w:rPr>
          <w:t>Dalmira et al., 2016</w:t>
        </w:r>
      </w:hyperlink>
      <w:r w:rsidRPr="00AA6743">
        <w:rPr>
          <w:rFonts w:eastAsia="Times New Roman" w:cs="Times New Roman"/>
          <w:sz w:val="22"/>
          <w:szCs w:val="22"/>
        </w:rPr>
        <w:t>). The GM product detection process followed by national reference laboratories consist of two consecutive steps; first, a qPCR screening of vectors commonly found in GM products, such as the 35S promoter from cauliflower mosaic virus, </w:t>
      </w:r>
      <w:r w:rsidRPr="00AA6743">
        <w:rPr>
          <w:rFonts w:eastAsia="Times New Roman" w:cs="Times New Roman"/>
          <w:i/>
          <w:iCs/>
          <w:sz w:val="22"/>
          <w:szCs w:val="22"/>
        </w:rPr>
        <w:t>Agrobacterium tumefaciens</w:t>
      </w:r>
      <w:r w:rsidRPr="00AA6743">
        <w:rPr>
          <w:rFonts w:eastAsia="Times New Roman" w:cs="Times New Roman"/>
          <w:sz w:val="22"/>
          <w:szCs w:val="22"/>
        </w:rPr>
        <w:t xml:space="preserve"> (tNOS) and selectable </w:t>
      </w:r>
      <w:r w:rsidRPr="00AA6743">
        <w:rPr>
          <w:rFonts w:eastAsia="Times New Roman" w:cs="Times New Roman"/>
          <w:sz w:val="22"/>
          <w:szCs w:val="22"/>
        </w:rPr>
        <w:lastRenderedPageBreak/>
        <w:t>markers. Then, the samples with a potential presence of GM materials, are tested using the corresponding GM event-specific method (</w:t>
      </w:r>
      <w:hyperlink r:id="rId41" w:anchor="B66" w:history="1">
        <w:r w:rsidRPr="00AA6743">
          <w:rPr>
            <w:rStyle w:val="a3"/>
            <w:rFonts w:eastAsia="Times New Roman" w:cs="Times New Roman"/>
            <w:color w:val="auto"/>
            <w:sz w:val="22"/>
            <w:szCs w:val="22"/>
          </w:rPr>
          <w:t>Fraiture et al., 2017</w:t>
        </w:r>
      </w:hyperlink>
      <w:r w:rsidRPr="00AA6743">
        <w:rPr>
          <w:rFonts w:eastAsia="Times New Roman" w:cs="Times New Roman"/>
          <w:sz w:val="22"/>
          <w:szCs w:val="22"/>
        </w:rPr>
        <w:t>).</w:t>
      </w:r>
    </w:p>
    <w:p w14:paraId="22F898D3" w14:textId="35DD38D0" w:rsidR="00F952F7" w:rsidRDefault="00CB2044" w:rsidP="00F952F7">
      <w:pPr>
        <w:shd w:val="clear" w:color="auto" w:fill="FFFFFF"/>
        <w:spacing w:after="100" w:afterAutospacing="1" w:line="450" w:lineRule="atLeast"/>
        <w:ind w:left="57" w:right="57"/>
        <w:outlineLvl w:val="2"/>
        <w:rPr>
          <w:color w:val="111111"/>
          <w:sz w:val="22"/>
          <w:szCs w:val="22"/>
        </w:rPr>
      </w:pPr>
      <w:r>
        <w:rPr>
          <w:b/>
          <w:bCs/>
          <w:sz w:val="22"/>
          <w:szCs w:val="22"/>
        </w:rPr>
        <w:t>Lab 10.</w:t>
      </w:r>
      <w:r>
        <w:rPr>
          <w:bCs/>
          <w:sz w:val="22"/>
          <w:szCs w:val="22"/>
        </w:rPr>
        <w:t xml:space="preserve">  Theme</w:t>
      </w:r>
      <w:r w:rsidR="00BC4077">
        <w:rPr>
          <w:bCs/>
          <w:sz w:val="22"/>
          <w:szCs w:val="22"/>
        </w:rPr>
        <w:t xml:space="preserve">: </w:t>
      </w:r>
      <w:r w:rsidR="00BC4077" w:rsidRPr="00BC4077">
        <w:rPr>
          <w:rFonts w:eastAsia="Times New Roman" w:cs="Times New Roman"/>
          <w:color w:val="212121"/>
          <w:sz w:val="22"/>
          <w:szCs w:val="22"/>
        </w:rPr>
        <w:t>Molecular characterization of GM crops</w:t>
      </w:r>
      <w:r w:rsidR="00BC4077">
        <w:rPr>
          <w:rFonts w:eastAsia="Times New Roman" w:cs="Times New Roman"/>
          <w:color w:val="212121"/>
          <w:sz w:val="22"/>
          <w:szCs w:val="22"/>
        </w:rPr>
        <w:t>.</w:t>
      </w:r>
      <w:r>
        <w:rPr>
          <w:bCs/>
          <w:sz w:val="22"/>
          <w:szCs w:val="22"/>
        </w:rPr>
        <w:t xml:space="preserve"> Techniques for determination of </w:t>
      </w:r>
      <w:r>
        <w:rPr>
          <w:color w:val="111111"/>
          <w:sz w:val="22"/>
          <w:szCs w:val="22"/>
        </w:rPr>
        <w:t>alimentary cellulose, and pre- and probiotics</w:t>
      </w:r>
      <w:r w:rsidR="00BC4077">
        <w:rPr>
          <w:color w:val="111111"/>
          <w:sz w:val="22"/>
          <w:szCs w:val="22"/>
        </w:rPr>
        <w:t>.</w:t>
      </w:r>
    </w:p>
    <w:p w14:paraId="16E6B202" w14:textId="14AA6DE1" w:rsidR="00BC4077" w:rsidRPr="00BC4077" w:rsidRDefault="00BC4077" w:rsidP="00BC4077">
      <w:pPr>
        <w:shd w:val="clear" w:color="auto" w:fill="FFFFFF"/>
        <w:spacing w:after="100" w:afterAutospacing="1" w:line="240" w:lineRule="auto"/>
        <w:ind w:left="57" w:right="57" w:firstLine="720"/>
        <w:rPr>
          <w:rFonts w:eastAsia="Times New Roman" w:cs="Times New Roman"/>
          <w:color w:val="212121"/>
          <w:sz w:val="22"/>
          <w:szCs w:val="22"/>
        </w:rPr>
      </w:pPr>
      <w:r w:rsidRPr="00BC4077">
        <w:rPr>
          <w:rFonts w:eastAsia="Times New Roman" w:cs="Times New Roman"/>
          <w:color w:val="212121"/>
          <w:sz w:val="22"/>
          <w:szCs w:val="22"/>
        </w:rPr>
        <w:t>is a full description of the structural information of the transgene and stability of the trait (</w:t>
      </w:r>
      <w:hyperlink r:id="rId42" w:anchor="B117" w:history="1">
        <w:r w:rsidRPr="00BC4077">
          <w:rPr>
            <w:rStyle w:val="a3"/>
            <w:rFonts w:eastAsia="Times New Roman" w:cs="Times New Roman"/>
            <w:color w:val="376FAA"/>
            <w:sz w:val="22"/>
            <w:szCs w:val="22"/>
          </w:rPr>
          <w:t>Li et al., 2017</w:t>
        </w:r>
      </w:hyperlink>
      <w:r w:rsidRPr="00BC4077">
        <w:rPr>
          <w:rFonts w:eastAsia="Times New Roman" w:cs="Times New Roman"/>
          <w:color w:val="212121"/>
          <w:sz w:val="22"/>
          <w:szCs w:val="22"/>
        </w:rPr>
        <w:t xml:space="preserve">). It is the foundation of all GM product safety assessments before </w:t>
      </w:r>
      <w:r w:rsidRPr="00BC4077">
        <w:rPr>
          <w:rFonts w:eastAsia="Times New Roman" w:cs="Times New Roman"/>
          <w:color w:val="FF0000"/>
          <w:sz w:val="22"/>
          <w:szCs w:val="22"/>
        </w:rPr>
        <w:t>commercialization</w:t>
      </w:r>
      <w:r w:rsidRPr="00BC4077">
        <w:rPr>
          <w:rFonts w:eastAsia="Times New Roman" w:cs="Times New Roman"/>
          <w:color w:val="212121"/>
          <w:sz w:val="22"/>
          <w:szCs w:val="22"/>
        </w:rPr>
        <w:t xml:space="preserve"> and also serves as a baseline for the development of detection and identification tools to satisfy traceability and labeling requirements (</w:t>
      </w:r>
      <w:hyperlink r:id="rId43" w:anchor="B55" w:history="1">
        <w:r w:rsidRPr="00BC4077">
          <w:rPr>
            <w:rStyle w:val="a3"/>
            <w:rFonts w:eastAsia="Times New Roman" w:cs="Times New Roman"/>
            <w:color w:val="376FAA"/>
            <w:sz w:val="22"/>
            <w:szCs w:val="22"/>
          </w:rPr>
          <w:t>European Parliament, 2003</w:t>
        </w:r>
      </w:hyperlink>
      <w:r w:rsidRPr="00BC4077">
        <w:rPr>
          <w:rFonts w:eastAsia="Times New Roman" w:cs="Times New Roman"/>
          <w:color w:val="212121"/>
          <w:sz w:val="22"/>
          <w:szCs w:val="22"/>
        </w:rPr>
        <w:t>).</w:t>
      </w:r>
    </w:p>
    <w:p w14:paraId="2B47A3E9" w14:textId="77777777" w:rsidR="00BC4077" w:rsidRPr="00BC4077" w:rsidRDefault="00BC4077" w:rsidP="00BC4077">
      <w:pPr>
        <w:shd w:val="clear" w:color="auto" w:fill="FFFFFF"/>
        <w:spacing w:after="100" w:afterAutospacing="1" w:line="240" w:lineRule="auto"/>
        <w:ind w:left="57" w:right="57" w:firstLine="720"/>
        <w:rPr>
          <w:rFonts w:eastAsia="Times New Roman" w:cs="Times New Roman"/>
          <w:color w:val="212121"/>
          <w:sz w:val="22"/>
          <w:szCs w:val="22"/>
        </w:rPr>
      </w:pPr>
      <w:r w:rsidRPr="00BC4077">
        <w:rPr>
          <w:rFonts w:eastAsia="Times New Roman" w:cs="Times New Roman"/>
          <w:color w:val="212121"/>
          <w:sz w:val="22"/>
          <w:szCs w:val="22"/>
        </w:rPr>
        <w:t xml:space="preserve"> Stakeholders of both GM food and feed, must provide information on the genomic locus/loci modified, copy number of the inserted transgene, insertion site, and flanking regions (</w:t>
      </w:r>
      <w:hyperlink r:id="rId44" w:anchor="B84" w:history="1">
        <w:r w:rsidRPr="00BC4077">
          <w:rPr>
            <w:rStyle w:val="a3"/>
            <w:rFonts w:eastAsia="Times New Roman" w:cs="Times New Roman"/>
            <w:color w:val="376FAA"/>
            <w:sz w:val="22"/>
            <w:szCs w:val="22"/>
          </w:rPr>
          <w:t>Guttikonda et al., 2016</w:t>
        </w:r>
      </w:hyperlink>
      <w:r w:rsidRPr="00BC4077">
        <w:rPr>
          <w:rFonts w:eastAsia="Times New Roman" w:cs="Times New Roman"/>
          <w:color w:val="212121"/>
          <w:sz w:val="22"/>
          <w:szCs w:val="22"/>
        </w:rPr>
        <w:t>).</w:t>
      </w:r>
    </w:p>
    <w:p w14:paraId="7667E96C"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w:t>
      </w:r>
      <w:r w:rsidRPr="00BC4077">
        <w:rPr>
          <w:rFonts w:eastAsia="Times New Roman" w:cs="Times New Roman"/>
          <w:color w:val="212121"/>
          <w:sz w:val="22"/>
          <w:szCs w:val="22"/>
        </w:rPr>
        <w:tab/>
        <w:t>Selection of low insertion copy number DNA transformants is preferred for the subsequent safety assessment process as it facilitates risk and hazard characterization (</w:t>
      </w:r>
      <w:hyperlink r:id="rId45" w:anchor="B180" w:history="1">
        <w:r w:rsidRPr="00BC4077">
          <w:rPr>
            <w:rStyle w:val="a3"/>
            <w:rFonts w:eastAsia="Times New Roman" w:cs="Times New Roman"/>
            <w:color w:val="376FAA"/>
            <w:sz w:val="22"/>
            <w:szCs w:val="22"/>
          </w:rPr>
          <w:t>Tiwari and Singh, 2018</w:t>
        </w:r>
      </w:hyperlink>
      <w:r w:rsidRPr="00BC4077">
        <w:rPr>
          <w:rFonts w:eastAsia="Times New Roman" w:cs="Times New Roman"/>
          <w:color w:val="212121"/>
          <w:sz w:val="22"/>
          <w:szCs w:val="22"/>
        </w:rPr>
        <w:t>). The methods most commonly used to determinate the number of transgenes integrated have been Southern blot analysis and polymerase chain reaction (PCR), in its various formats such as real-time PCR (qPCR) (</w:t>
      </w:r>
      <w:hyperlink r:id="rId46" w:anchor="B117" w:history="1">
        <w:r w:rsidRPr="00BC4077">
          <w:rPr>
            <w:rStyle w:val="a3"/>
            <w:rFonts w:eastAsia="Times New Roman" w:cs="Times New Roman"/>
            <w:color w:val="376FAA"/>
            <w:sz w:val="22"/>
            <w:szCs w:val="22"/>
          </w:rPr>
          <w:t>Li et al., 2017</w:t>
        </w:r>
      </w:hyperlink>
      <w:r w:rsidRPr="00BC4077">
        <w:rPr>
          <w:rFonts w:eastAsia="Times New Roman" w:cs="Times New Roman"/>
          <w:color w:val="212121"/>
          <w:sz w:val="22"/>
          <w:szCs w:val="22"/>
        </w:rPr>
        <w:t>).</w:t>
      </w:r>
    </w:p>
    <w:p w14:paraId="65366230" w14:textId="0B72D4E4" w:rsidR="00BC4077" w:rsidRPr="00BC4077" w:rsidRDefault="00BC4077" w:rsidP="00BC4077">
      <w:pPr>
        <w:shd w:val="clear" w:color="auto" w:fill="FFFFFF"/>
        <w:spacing w:after="100" w:afterAutospacing="1" w:line="450" w:lineRule="atLeast"/>
        <w:ind w:left="57" w:right="57"/>
        <w:outlineLvl w:val="2"/>
        <w:rPr>
          <w:rFonts w:cs="Times New Roman"/>
          <w:color w:val="111111"/>
          <w:sz w:val="22"/>
          <w:szCs w:val="22"/>
        </w:rPr>
      </w:pPr>
      <w:r w:rsidRPr="00BC4077">
        <w:rPr>
          <w:rFonts w:eastAsia="Times New Roman" w:cs="Times New Roman"/>
          <w:i/>
          <w:color w:val="212121"/>
          <w:sz w:val="22"/>
          <w:szCs w:val="22"/>
        </w:rPr>
        <w:t>The Southern blot analysis</w:t>
      </w:r>
      <w:r w:rsidRPr="00BC4077">
        <w:rPr>
          <w:rFonts w:eastAsia="Times New Roman" w:cs="Times New Roman"/>
          <w:color w:val="212121"/>
          <w:sz w:val="22"/>
          <w:szCs w:val="22"/>
        </w:rPr>
        <w:t xml:space="preserve"> involves a careful selection and broad screening of restriction enzymes and designing of probes, which in some cases dependent on prior sequence information of the transgene insertion (</w:t>
      </w:r>
      <w:hyperlink r:id="rId47" w:anchor="B187" w:history="1">
        <w:r w:rsidRPr="00BC4077">
          <w:rPr>
            <w:rStyle w:val="a3"/>
            <w:rFonts w:eastAsia="Times New Roman" w:cs="Times New Roman"/>
            <w:color w:val="376FAA"/>
            <w:sz w:val="22"/>
            <w:szCs w:val="22"/>
          </w:rPr>
          <w:t>Urquiza and Silva, 2014</w:t>
        </w:r>
      </w:hyperlink>
      <w:r w:rsidRPr="00BC4077">
        <w:rPr>
          <w:rFonts w:eastAsia="Times New Roman" w:cs="Times New Roman"/>
          <w:color w:val="212121"/>
          <w:sz w:val="22"/>
          <w:szCs w:val="22"/>
        </w:rPr>
        <w:t xml:space="preserve">). However, the approach is relatively time-consuming and laborious, </w:t>
      </w:r>
      <w:proofErr w:type="gramStart"/>
      <w:r w:rsidRPr="00BC4077">
        <w:rPr>
          <w:rFonts w:eastAsia="Times New Roman" w:cs="Times New Roman"/>
          <w:color w:val="212121"/>
          <w:sz w:val="22"/>
          <w:szCs w:val="22"/>
        </w:rPr>
        <w:t>and also</w:t>
      </w:r>
      <w:proofErr w:type="gramEnd"/>
      <w:r w:rsidRPr="00BC4077">
        <w:rPr>
          <w:rFonts w:eastAsia="Times New Roman" w:cs="Times New Roman"/>
          <w:color w:val="212121"/>
          <w:sz w:val="22"/>
          <w:szCs w:val="22"/>
        </w:rPr>
        <w:t xml:space="preserve"> includes a manual interpretation process. In addition, the result may not accurately reflect the copy number of a transgene, if sequence rearrangements have occurred, which have affected the position(s) of the restriction enzyme recognition site(s) in the inserted transgene(s) (</w:t>
      </w:r>
      <w:hyperlink r:id="rId48" w:anchor="B204" w:history="1">
        <w:r w:rsidRPr="00BC4077">
          <w:rPr>
            <w:rStyle w:val="a3"/>
            <w:rFonts w:eastAsia="Times New Roman" w:cs="Times New Roman"/>
            <w:color w:val="376FAA"/>
            <w:sz w:val="22"/>
            <w:szCs w:val="22"/>
          </w:rPr>
          <w:t>Yang et al., 2005</w:t>
        </w:r>
      </w:hyperlink>
      <w:r w:rsidRPr="00BC4077">
        <w:rPr>
          <w:rFonts w:eastAsia="Times New Roman" w:cs="Times New Roman"/>
          <w:color w:val="212121"/>
          <w:sz w:val="22"/>
          <w:szCs w:val="22"/>
        </w:rPr>
        <w:t>).</w:t>
      </w:r>
    </w:p>
    <w:p w14:paraId="43C13DBF" w14:textId="6760A3D1" w:rsidR="00BC4077" w:rsidRDefault="00BC4077" w:rsidP="00F952F7">
      <w:pPr>
        <w:shd w:val="clear" w:color="auto" w:fill="FFFFFF"/>
        <w:spacing w:after="100" w:afterAutospacing="1" w:line="450" w:lineRule="atLeast"/>
        <w:ind w:left="57" w:right="57"/>
        <w:outlineLvl w:val="2"/>
        <w:rPr>
          <w:color w:val="111111"/>
          <w:sz w:val="22"/>
          <w:szCs w:val="22"/>
        </w:rPr>
      </w:pPr>
      <w:r>
        <w:rPr>
          <w:b/>
          <w:bCs/>
          <w:sz w:val="22"/>
          <w:szCs w:val="22"/>
        </w:rPr>
        <w:t>Lab 11.</w:t>
      </w:r>
      <w:r>
        <w:rPr>
          <w:bCs/>
          <w:sz w:val="22"/>
          <w:szCs w:val="22"/>
        </w:rPr>
        <w:t xml:space="preserve">  Theme</w:t>
      </w:r>
      <w:r>
        <w:rPr>
          <w:bCs/>
          <w:sz w:val="22"/>
          <w:szCs w:val="22"/>
        </w:rPr>
        <w:t xml:space="preserve">: </w:t>
      </w:r>
      <w:r w:rsidRPr="00BC4077">
        <w:rPr>
          <w:rFonts w:eastAsia="Times New Roman" w:cs="Times New Roman"/>
          <w:color w:val="212121"/>
          <w:sz w:val="22"/>
          <w:szCs w:val="22"/>
        </w:rPr>
        <w:t xml:space="preserve">A qPCR-based assay </w:t>
      </w:r>
      <w:r>
        <w:rPr>
          <w:rFonts w:eastAsia="Times New Roman" w:cs="Times New Roman"/>
          <w:color w:val="212121"/>
          <w:sz w:val="22"/>
          <w:szCs w:val="22"/>
        </w:rPr>
        <w:t xml:space="preserve">to </w:t>
      </w:r>
      <w:r w:rsidRPr="00BC4077">
        <w:rPr>
          <w:rFonts w:eastAsia="Times New Roman" w:cs="Times New Roman"/>
          <w:color w:val="212121"/>
          <w:sz w:val="22"/>
          <w:szCs w:val="22"/>
        </w:rPr>
        <w:t xml:space="preserve"> quantify the copy number of transgenes</w:t>
      </w:r>
      <w:r>
        <w:rPr>
          <w:rFonts w:eastAsia="Times New Roman" w:cs="Times New Roman"/>
          <w:color w:val="212121"/>
          <w:sz w:val="22"/>
          <w:szCs w:val="22"/>
        </w:rPr>
        <w:t xml:space="preserve">. </w:t>
      </w:r>
      <w:r>
        <w:rPr>
          <w:bCs/>
          <w:sz w:val="22"/>
          <w:szCs w:val="22"/>
        </w:rPr>
        <w:t xml:space="preserve"> Methods of determination of </w:t>
      </w:r>
      <w:r>
        <w:rPr>
          <w:color w:val="111111"/>
          <w:sz w:val="22"/>
          <w:szCs w:val="22"/>
        </w:rPr>
        <w:t>vitamins A, C, E, plant pigments, indispensable unsaturated fatty acids (IUFA).</w:t>
      </w:r>
    </w:p>
    <w:p w14:paraId="7B8CC5D7"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A qPCR-based assay can more accurately quantify the copy number of transgenes by comparing to an endogenous reference sequence (endogene), which has provided a simplified alternative to Southern blot analysis (</w:t>
      </w:r>
      <w:hyperlink r:id="rId49" w:anchor="B117" w:history="1">
        <w:r w:rsidRPr="00BC4077">
          <w:rPr>
            <w:rStyle w:val="a3"/>
            <w:rFonts w:eastAsia="Times New Roman" w:cs="Times New Roman"/>
            <w:color w:val="376FAA"/>
            <w:sz w:val="22"/>
            <w:szCs w:val="22"/>
          </w:rPr>
          <w:t>Li et al., 2017</w:t>
        </w:r>
      </w:hyperlink>
      <w:r w:rsidRPr="00BC4077">
        <w:rPr>
          <w:rFonts w:eastAsia="Times New Roman" w:cs="Times New Roman"/>
          <w:color w:val="212121"/>
          <w:sz w:val="22"/>
          <w:szCs w:val="22"/>
        </w:rPr>
        <w:t>). However, identification of a single copy reference gene is occasionally difficult in crop species, due to ancestral whole genome duplications or due to polyploidy, causing complex structures and genetic redundancy (</w:t>
      </w:r>
      <w:hyperlink r:id="rId50" w:anchor="B154" w:history="1">
        <w:r w:rsidRPr="00BC4077">
          <w:rPr>
            <w:rStyle w:val="a3"/>
            <w:rFonts w:eastAsia="Times New Roman" w:cs="Times New Roman"/>
            <w:color w:val="376FAA"/>
            <w:sz w:val="22"/>
            <w:szCs w:val="22"/>
          </w:rPr>
          <w:t>Ren et al., 2018</w:t>
        </w:r>
      </w:hyperlink>
      <w:r w:rsidRPr="00BC4077">
        <w:rPr>
          <w:rFonts w:eastAsia="Times New Roman" w:cs="Times New Roman"/>
          <w:color w:val="212121"/>
          <w:sz w:val="22"/>
          <w:szCs w:val="22"/>
        </w:rPr>
        <w:t>). To overcome the identification of a reference gene and dependency on DNA calibrations, droplet digital PCR (ddPCR), a method that identifies the absolute DNA copy number in a sample, has been proposed for determination of GM copy number (</w:t>
      </w:r>
      <w:hyperlink r:id="rId51" w:anchor="B70" w:history="1">
        <w:r w:rsidRPr="00BC4077">
          <w:rPr>
            <w:rStyle w:val="a3"/>
            <w:rFonts w:eastAsia="Times New Roman" w:cs="Times New Roman"/>
            <w:color w:val="376FAA"/>
            <w:sz w:val="22"/>
            <w:szCs w:val="22"/>
          </w:rPr>
          <w:t>Głowacka et al., 2016</w:t>
        </w:r>
      </w:hyperlink>
      <w:r w:rsidRPr="00BC4077">
        <w:rPr>
          <w:rFonts w:eastAsia="Times New Roman" w:cs="Times New Roman"/>
          <w:color w:val="212121"/>
          <w:sz w:val="22"/>
          <w:szCs w:val="22"/>
        </w:rPr>
        <w:t>; </w:t>
      </w:r>
      <w:hyperlink r:id="rId52" w:anchor="B35" w:history="1">
        <w:r w:rsidRPr="00BC4077">
          <w:rPr>
            <w:rStyle w:val="a3"/>
            <w:rFonts w:eastAsia="Times New Roman" w:cs="Times New Roman"/>
            <w:color w:val="376FAA"/>
            <w:sz w:val="22"/>
            <w:szCs w:val="22"/>
          </w:rPr>
          <w:t>Dalmira et al., 2016</w:t>
        </w:r>
      </w:hyperlink>
      <w:r w:rsidRPr="00BC4077">
        <w:rPr>
          <w:rFonts w:eastAsia="Times New Roman" w:cs="Times New Roman"/>
          <w:color w:val="212121"/>
          <w:sz w:val="22"/>
          <w:szCs w:val="22"/>
        </w:rPr>
        <w:t>).</w:t>
      </w:r>
    </w:p>
    <w:p w14:paraId="628EBD05"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Following identification of low-copy number transformants, the precise location(s) of the transgene(s) in the crop genome is required to be identified (</w:t>
      </w:r>
      <w:hyperlink r:id="rId53" w:anchor="B144" w:history="1">
        <w:r w:rsidRPr="00BC4077">
          <w:rPr>
            <w:rStyle w:val="a3"/>
            <w:rFonts w:eastAsia="Times New Roman" w:cs="Times New Roman"/>
            <w:color w:val="376FAA"/>
            <w:sz w:val="22"/>
            <w:szCs w:val="22"/>
          </w:rPr>
          <w:t>Park et al., 2017</w:t>
        </w:r>
      </w:hyperlink>
      <w:r w:rsidRPr="00BC4077">
        <w:rPr>
          <w:rFonts w:eastAsia="Times New Roman" w:cs="Times New Roman"/>
          <w:color w:val="212121"/>
          <w:sz w:val="22"/>
          <w:szCs w:val="22"/>
        </w:rPr>
        <w:t>). DNA sequencing approaches have been used for this purpose, and this process may also identify backbone sequence(s), which were not intended to be introduced from the transformation vector into the host genome (</w:t>
      </w:r>
      <w:hyperlink r:id="rId54" w:anchor="B108" w:history="1">
        <w:r w:rsidRPr="00BC4077">
          <w:rPr>
            <w:rStyle w:val="a3"/>
            <w:rFonts w:eastAsia="Times New Roman" w:cs="Times New Roman"/>
            <w:color w:val="376FAA"/>
            <w:sz w:val="22"/>
            <w:szCs w:val="22"/>
          </w:rPr>
          <w:t>Kononov et al., 1997</w:t>
        </w:r>
      </w:hyperlink>
      <w:r w:rsidRPr="00BC4077">
        <w:rPr>
          <w:rFonts w:eastAsia="Times New Roman" w:cs="Times New Roman"/>
          <w:color w:val="212121"/>
          <w:sz w:val="22"/>
          <w:szCs w:val="22"/>
        </w:rPr>
        <w:t>). The method traditionally used for this purpose was based on Sanger sequencing (</w:t>
      </w:r>
      <w:hyperlink r:id="rId55" w:anchor="B84" w:history="1">
        <w:r w:rsidRPr="00BC4077">
          <w:rPr>
            <w:rStyle w:val="a3"/>
            <w:rFonts w:eastAsia="Times New Roman" w:cs="Times New Roman"/>
            <w:color w:val="376FAA"/>
            <w:sz w:val="22"/>
            <w:szCs w:val="22"/>
          </w:rPr>
          <w:t>Guttikonda et al., 2016</w:t>
        </w:r>
      </w:hyperlink>
      <w:r w:rsidRPr="00BC4077">
        <w:rPr>
          <w:rFonts w:eastAsia="Times New Roman" w:cs="Times New Roman"/>
          <w:color w:val="212121"/>
          <w:sz w:val="22"/>
          <w:szCs w:val="22"/>
        </w:rPr>
        <w:t xml:space="preserve">). However, the second-generation sequencing (SGS) technologies have been proposed as a new tool for molecular </w:t>
      </w:r>
      <w:r w:rsidRPr="00BC4077">
        <w:rPr>
          <w:rFonts w:eastAsia="Times New Roman" w:cs="Times New Roman"/>
          <w:color w:val="212121"/>
          <w:sz w:val="22"/>
          <w:szCs w:val="22"/>
        </w:rPr>
        <w:lastRenderedPageBreak/>
        <w:t>characterization of GM crops, due to a larger sequencing capacity and potentially higher accuracy of the resulting assembled sequence (</w:t>
      </w:r>
      <w:hyperlink r:id="rId56" w:anchor="B109" w:history="1">
        <w:r w:rsidRPr="00BC4077">
          <w:rPr>
            <w:rStyle w:val="a3"/>
            <w:rFonts w:eastAsia="Times New Roman" w:cs="Times New Roman"/>
            <w:color w:val="376FAA"/>
            <w:sz w:val="22"/>
            <w:szCs w:val="22"/>
          </w:rPr>
          <w:t>Kovalic et al., 2012</w:t>
        </w:r>
      </w:hyperlink>
      <w:r w:rsidRPr="00BC4077">
        <w:rPr>
          <w:rFonts w:eastAsia="Times New Roman" w:cs="Times New Roman"/>
          <w:color w:val="212121"/>
          <w:sz w:val="22"/>
          <w:szCs w:val="22"/>
        </w:rPr>
        <w:t>; </w:t>
      </w:r>
      <w:hyperlink r:id="rId57" w:anchor="B205" w:history="1">
        <w:r w:rsidRPr="00BC4077">
          <w:rPr>
            <w:rStyle w:val="a3"/>
            <w:rFonts w:eastAsia="Times New Roman" w:cs="Times New Roman"/>
            <w:color w:val="376FAA"/>
            <w:sz w:val="22"/>
            <w:szCs w:val="22"/>
          </w:rPr>
          <w:t>Yang et al., 2013</w:t>
        </w:r>
      </w:hyperlink>
      <w:r w:rsidRPr="00BC4077">
        <w:rPr>
          <w:rFonts w:eastAsia="Times New Roman" w:cs="Times New Roman"/>
          <w:color w:val="212121"/>
          <w:sz w:val="22"/>
          <w:szCs w:val="22"/>
        </w:rPr>
        <w:t>; </w:t>
      </w:r>
      <w:hyperlink r:id="rId58" w:anchor="B145" w:history="1">
        <w:r w:rsidRPr="00BC4077">
          <w:rPr>
            <w:rStyle w:val="a3"/>
            <w:rFonts w:eastAsia="Times New Roman" w:cs="Times New Roman"/>
            <w:color w:val="376FAA"/>
            <w:sz w:val="22"/>
            <w:szCs w:val="22"/>
          </w:rPr>
          <w:t>Pauwels et al., 2015</w:t>
        </w:r>
      </w:hyperlink>
      <w:r w:rsidRPr="00BC4077">
        <w:rPr>
          <w:rFonts w:eastAsia="Times New Roman" w:cs="Times New Roman"/>
          <w:color w:val="212121"/>
          <w:sz w:val="22"/>
          <w:szCs w:val="22"/>
        </w:rPr>
        <w:t>; </w:t>
      </w:r>
      <w:hyperlink r:id="rId59" w:anchor="B5" w:history="1">
        <w:r w:rsidRPr="00BC4077">
          <w:rPr>
            <w:rStyle w:val="a3"/>
            <w:rFonts w:eastAsia="Times New Roman" w:cs="Times New Roman"/>
            <w:color w:val="376FAA"/>
            <w:sz w:val="22"/>
            <w:szCs w:val="22"/>
          </w:rPr>
          <w:t>Arulandhu et al., 2016</w:t>
        </w:r>
      </w:hyperlink>
      <w:r w:rsidRPr="00BC4077">
        <w:rPr>
          <w:rFonts w:eastAsia="Times New Roman" w:cs="Times New Roman"/>
          <w:color w:val="212121"/>
          <w:sz w:val="22"/>
          <w:szCs w:val="22"/>
        </w:rPr>
        <w:t>).</w:t>
      </w:r>
    </w:p>
    <w:p w14:paraId="18F642A8"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The SGS approaches can increase speed, scalability, and automation in the selection of potential valuable events on the basis of their molecular profile, facilitating post-transformation screening (</w:t>
      </w:r>
      <w:hyperlink r:id="rId60" w:anchor="B109" w:history="1">
        <w:r w:rsidRPr="00BC4077">
          <w:rPr>
            <w:rStyle w:val="a3"/>
            <w:rFonts w:eastAsia="Times New Roman" w:cs="Times New Roman"/>
            <w:color w:val="376FAA"/>
            <w:sz w:val="22"/>
            <w:szCs w:val="22"/>
          </w:rPr>
          <w:t>Kovalic et al., 2012</w:t>
        </w:r>
      </w:hyperlink>
      <w:r w:rsidRPr="00BC4077">
        <w:rPr>
          <w:rFonts w:eastAsia="Times New Roman" w:cs="Times New Roman"/>
          <w:color w:val="212121"/>
          <w:sz w:val="22"/>
          <w:szCs w:val="22"/>
        </w:rPr>
        <w:t>; </w:t>
      </w:r>
      <w:hyperlink r:id="rId61" w:anchor="B145" w:history="1">
        <w:r w:rsidRPr="00BC4077">
          <w:rPr>
            <w:rStyle w:val="a3"/>
            <w:rFonts w:eastAsia="Times New Roman" w:cs="Times New Roman"/>
            <w:color w:val="376FAA"/>
            <w:sz w:val="22"/>
            <w:szCs w:val="22"/>
          </w:rPr>
          <w:t>Pauwels et al., 2015</w:t>
        </w:r>
      </w:hyperlink>
      <w:r w:rsidRPr="00BC4077">
        <w:rPr>
          <w:rFonts w:eastAsia="Times New Roman" w:cs="Times New Roman"/>
          <w:color w:val="212121"/>
          <w:sz w:val="22"/>
          <w:szCs w:val="22"/>
        </w:rPr>
        <w:t>; </w:t>
      </w:r>
      <w:hyperlink r:id="rId62" w:anchor="B84" w:history="1">
        <w:r w:rsidRPr="00BC4077">
          <w:rPr>
            <w:rStyle w:val="a3"/>
            <w:rFonts w:eastAsia="Times New Roman" w:cs="Times New Roman"/>
            <w:color w:val="376FAA"/>
            <w:sz w:val="22"/>
            <w:szCs w:val="22"/>
          </w:rPr>
          <w:t>Guttikonda et al., 2016</w:t>
        </w:r>
      </w:hyperlink>
      <w:r w:rsidRPr="00BC4077">
        <w:rPr>
          <w:rFonts w:eastAsia="Times New Roman" w:cs="Times New Roman"/>
          <w:color w:val="212121"/>
          <w:sz w:val="22"/>
          <w:szCs w:val="22"/>
        </w:rPr>
        <w:t>). However, these technologies do not directly provide information about the position of the insertion(s) in native DNA, due to short read lengths (50–400 base pairs) (</w:t>
      </w:r>
      <w:hyperlink r:id="rId63" w:anchor="B81" w:history="1">
        <w:r w:rsidRPr="00BC4077">
          <w:rPr>
            <w:rStyle w:val="a3"/>
            <w:rFonts w:eastAsia="Times New Roman" w:cs="Times New Roman"/>
            <w:color w:val="376FAA"/>
            <w:sz w:val="22"/>
            <w:szCs w:val="22"/>
          </w:rPr>
          <w:t>Goodwin et al., 2016</w:t>
        </w:r>
      </w:hyperlink>
      <w:r w:rsidRPr="00BC4077">
        <w:rPr>
          <w:rFonts w:eastAsia="Times New Roman" w:cs="Times New Roman"/>
          <w:color w:val="212121"/>
          <w:sz w:val="22"/>
          <w:szCs w:val="22"/>
        </w:rPr>
        <w:t>), while transgenic constructs are typically thousands of base pairs. A computational process for alignment and/or assembly of the short sequencing reads is essential for the molecular characterization purposes, and repetitive elements commonly found in plant genomes can generate problems for the alignment/assembly procedure (</w:t>
      </w:r>
      <w:hyperlink r:id="rId64" w:anchor="B118" w:history="1">
        <w:r w:rsidRPr="00BC4077">
          <w:rPr>
            <w:rStyle w:val="a3"/>
            <w:rFonts w:eastAsia="Times New Roman" w:cs="Times New Roman"/>
            <w:color w:val="376FAA"/>
            <w:sz w:val="22"/>
            <w:szCs w:val="22"/>
          </w:rPr>
          <w:t>Liang et al., 2014</w:t>
        </w:r>
      </w:hyperlink>
      <w:r w:rsidRPr="00BC4077">
        <w:rPr>
          <w:rFonts w:eastAsia="Times New Roman" w:cs="Times New Roman"/>
          <w:color w:val="212121"/>
          <w:sz w:val="22"/>
          <w:szCs w:val="22"/>
        </w:rPr>
        <w:t>).</w:t>
      </w:r>
    </w:p>
    <w:p w14:paraId="3A67F8B4"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Recently, single-molecule sequencing, also termed third-generation sequencing (TGS) platforms, have been commercialized allowing a large increase in read length up to tens of thousands of bases per read (</w:t>
      </w:r>
      <w:hyperlink r:id="rId65" w:anchor="B121" w:history="1">
        <w:r w:rsidRPr="00BC4077">
          <w:rPr>
            <w:rStyle w:val="a3"/>
            <w:rFonts w:eastAsia="Times New Roman" w:cs="Times New Roman"/>
            <w:color w:val="376FAA"/>
            <w:sz w:val="22"/>
            <w:szCs w:val="22"/>
          </w:rPr>
          <w:t>Loose et al., 2016</w:t>
        </w:r>
      </w:hyperlink>
      <w:r w:rsidRPr="00BC4077">
        <w:rPr>
          <w:rFonts w:eastAsia="Times New Roman" w:cs="Times New Roman"/>
          <w:color w:val="212121"/>
          <w:sz w:val="22"/>
          <w:szCs w:val="22"/>
        </w:rPr>
        <w:t>). Read length is limited by the input DNA fragment size, but over 300 kb have been reported (</w:t>
      </w:r>
      <w:hyperlink r:id="rId66" w:anchor="B102" w:history="1">
        <w:r w:rsidRPr="00BC4077">
          <w:rPr>
            <w:rStyle w:val="a3"/>
            <w:rFonts w:eastAsia="Times New Roman" w:cs="Times New Roman"/>
            <w:color w:val="376FAA"/>
            <w:sz w:val="22"/>
            <w:szCs w:val="22"/>
          </w:rPr>
          <w:t>Jain et al., 2016</w:t>
        </w:r>
      </w:hyperlink>
      <w:r w:rsidRPr="00BC4077">
        <w:rPr>
          <w:rFonts w:eastAsia="Times New Roman" w:cs="Times New Roman"/>
          <w:color w:val="212121"/>
          <w:sz w:val="22"/>
          <w:szCs w:val="22"/>
        </w:rPr>
        <w:t>). The increment in read lengths up to tens of thousands can facilitate a more reliable GM characterization process, by extending the sequence reads of the flanking regions present in the captured fragments and potentially solving alignment problems.</w:t>
      </w:r>
    </w:p>
    <w:p w14:paraId="41BCEAC8" w14:textId="77777777" w:rsidR="00BC4077" w:rsidRPr="00BC4077" w:rsidRDefault="00BC4077" w:rsidP="00BC4077">
      <w:pPr>
        <w:shd w:val="clear" w:color="auto" w:fill="FFFFFF"/>
        <w:spacing w:after="100" w:afterAutospacing="1" w:line="240" w:lineRule="auto"/>
        <w:ind w:left="57" w:right="57"/>
        <w:rPr>
          <w:rFonts w:eastAsia="Times New Roman" w:cs="Times New Roman"/>
          <w:color w:val="212121"/>
          <w:sz w:val="22"/>
          <w:szCs w:val="22"/>
        </w:rPr>
      </w:pPr>
      <w:r w:rsidRPr="00BC4077">
        <w:rPr>
          <w:rFonts w:eastAsia="Times New Roman" w:cs="Times New Roman"/>
          <w:color w:val="212121"/>
          <w:sz w:val="22"/>
          <w:szCs w:val="22"/>
        </w:rPr>
        <w:t>The most common TGS platforms are products from Pacific Biosciences (PacBio, Menlo Park, CA, US) and Oxford Nanopore Technologies (ONT Oxford Science Park, Oxford). PacBio uses a sequencing-by-synthesis method to capture a single DNA molecule and a circular consensus sequence (CCS) to increase accuracy. The CCS uses a circular DNA template by ligating hairpin adaptors to both ends of target double-stranded DNA, so the DNA template is sequenced multiple times to generate a continuous long read (</w:t>
      </w:r>
      <w:hyperlink r:id="rId67" w:anchor="B197" w:history="1">
        <w:r w:rsidRPr="00BC4077">
          <w:rPr>
            <w:rStyle w:val="a3"/>
            <w:rFonts w:eastAsia="Times New Roman" w:cs="Times New Roman"/>
            <w:color w:val="376FAA"/>
            <w:sz w:val="22"/>
            <w:szCs w:val="22"/>
          </w:rPr>
          <w:t>Weirather et al., 2017</w:t>
        </w:r>
      </w:hyperlink>
      <w:r w:rsidRPr="00BC4077">
        <w:rPr>
          <w:rFonts w:eastAsia="Times New Roman" w:cs="Times New Roman"/>
          <w:color w:val="212121"/>
          <w:sz w:val="22"/>
          <w:szCs w:val="22"/>
        </w:rPr>
        <w:t>). Nanopore sequencing, uses nanopores to sequence native single-stranded DNA, by measuring the changes in an electric current passed across the pore as the DNA bases pass through, disrupting the current to different levels with different nucleotides (</w:t>
      </w:r>
      <w:hyperlink r:id="rId68" w:anchor="B76" w:history="1">
        <w:r w:rsidRPr="00BC4077">
          <w:rPr>
            <w:rStyle w:val="a3"/>
            <w:rFonts w:eastAsia="Times New Roman" w:cs="Times New Roman"/>
            <w:color w:val="376FAA"/>
            <w:sz w:val="22"/>
            <w:szCs w:val="22"/>
          </w:rPr>
          <w:t>Giordano et al., 2017</w:t>
        </w:r>
      </w:hyperlink>
      <w:r w:rsidRPr="00BC4077">
        <w:rPr>
          <w:rFonts w:eastAsia="Times New Roman" w:cs="Times New Roman"/>
          <w:color w:val="212121"/>
          <w:sz w:val="22"/>
          <w:szCs w:val="22"/>
        </w:rPr>
        <w:t>).</w:t>
      </w:r>
    </w:p>
    <w:p w14:paraId="0D62CDF6" w14:textId="710BD71A" w:rsidR="00BC4077" w:rsidRDefault="00BC4077" w:rsidP="00BC4077">
      <w:pPr>
        <w:snapToGrid w:val="0"/>
        <w:spacing w:line="256" w:lineRule="auto"/>
        <w:rPr>
          <w:color w:val="333333"/>
          <w:sz w:val="22"/>
          <w:szCs w:val="22"/>
          <w:shd w:val="clear" w:color="auto" w:fill="FFFFFF"/>
        </w:rPr>
      </w:pPr>
      <w:r>
        <w:rPr>
          <w:b/>
          <w:bCs/>
          <w:sz w:val="22"/>
          <w:szCs w:val="22"/>
        </w:rPr>
        <w:t>Lab 12.</w:t>
      </w:r>
      <w:r>
        <w:rPr>
          <w:bCs/>
          <w:sz w:val="22"/>
          <w:szCs w:val="22"/>
        </w:rPr>
        <w:t xml:space="preserve">  Theme </w:t>
      </w:r>
      <w:r>
        <w:rPr>
          <w:color w:val="333333"/>
          <w:sz w:val="22"/>
          <w:szCs w:val="22"/>
          <w:shd w:val="clear" w:color="auto" w:fill="FFFFFF"/>
        </w:rPr>
        <w:t>Food additives in organic products</w:t>
      </w:r>
      <w:r w:rsidR="004342DF">
        <w:rPr>
          <w:color w:val="333333"/>
          <w:sz w:val="22"/>
          <w:szCs w:val="22"/>
          <w:shd w:val="clear" w:color="auto" w:fill="FFFFFF"/>
        </w:rPr>
        <w:t>.</w:t>
      </w:r>
    </w:p>
    <w:p w14:paraId="78BD724A" w14:textId="77777777" w:rsidR="004342DF" w:rsidRPr="004342DF" w:rsidRDefault="004342DF" w:rsidP="004342DF">
      <w:pPr>
        <w:shd w:val="clear" w:color="auto" w:fill="FFFFFF"/>
        <w:spacing w:line="240" w:lineRule="auto"/>
        <w:ind w:left="360"/>
        <w:rPr>
          <w:rFonts w:eastAsia="Times New Roman" w:cs="Times New Roman"/>
          <w:color w:val="202124"/>
          <w:sz w:val="22"/>
          <w:szCs w:val="22"/>
        </w:rPr>
      </w:pPr>
      <w:r w:rsidRPr="004342DF">
        <w:rPr>
          <w:rFonts w:eastAsia="Times New Roman" w:cs="Times New Roman"/>
          <w:b/>
          <w:bCs/>
          <w:color w:val="202124"/>
          <w:sz w:val="22"/>
          <w:szCs w:val="22"/>
        </w:rPr>
        <w:t>10 Common Food Additives Found in Natural or Organic Foods</w:t>
      </w:r>
    </w:p>
    <w:p w14:paraId="16D66DD5"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Carrageenan. ...</w:t>
      </w:r>
    </w:p>
    <w:p w14:paraId="3B403C0D"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Xanthan gum. ...</w:t>
      </w:r>
    </w:p>
    <w:p w14:paraId="2A4C96FD"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Guar gum. ...</w:t>
      </w:r>
    </w:p>
    <w:p w14:paraId="574940B3"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Ascorbic acid. ...</w:t>
      </w:r>
    </w:p>
    <w:p w14:paraId="3043F63C"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Agar. ...</w:t>
      </w:r>
    </w:p>
    <w:p w14:paraId="3A4A2228"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Gelatin. ...</w:t>
      </w:r>
    </w:p>
    <w:p w14:paraId="490D2183"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Natural Flavors. ...</w:t>
      </w:r>
    </w:p>
    <w:p w14:paraId="17CB7549" w14:textId="77777777" w:rsidR="004342DF" w:rsidRPr="004342DF" w:rsidRDefault="004342DF" w:rsidP="004342DF">
      <w:pPr>
        <w:shd w:val="clear" w:color="auto" w:fill="FFFFFF"/>
        <w:spacing w:after="60" w:line="240" w:lineRule="auto"/>
        <w:ind w:left="360"/>
        <w:rPr>
          <w:rFonts w:eastAsia="Times New Roman" w:cs="Times New Roman"/>
          <w:color w:val="202124"/>
          <w:sz w:val="22"/>
          <w:szCs w:val="22"/>
        </w:rPr>
      </w:pPr>
      <w:r w:rsidRPr="004342DF">
        <w:rPr>
          <w:rFonts w:eastAsia="Times New Roman" w:cs="Times New Roman"/>
          <w:color w:val="202124"/>
          <w:sz w:val="22"/>
          <w:szCs w:val="22"/>
        </w:rPr>
        <w:t>Lecithin.</w:t>
      </w:r>
    </w:p>
    <w:p w14:paraId="6E47FDF3" w14:textId="77777777" w:rsidR="004342DF" w:rsidRDefault="004342DF" w:rsidP="00BC4077">
      <w:pPr>
        <w:snapToGrid w:val="0"/>
        <w:spacing w:line="256" w:lineRule="auto"/>
        <w:rPr>
          <w:bCs/>
          <w:sz w:val="22"/>
          <w:szCs w:val="22"/>
        </w:rPr>
      </w:pPr>
    </w:p>
    <w:p w14:paraId="1F43AEB5" w14:textId="733F2A3D" w:rsidR="00BC4077" w:rsidRDefault="00BC4077" w:rsidP="00BC4077">
      <w:pPr>
        <w:snapToGrid w:val="0"/>
        <w:spacing w:line="256" w:lineRule="auto"/>
        <w:rPr>
          <w:bCs/>
          <w:sz w:val="22"/>
          <w:szCs w:val="22"/>
        </w:rPr>
      </w:pPr>
      <w:r>
        <w:rPr>
          <w:b/>
          <w:bCs/>
          <w:sz w:val="22"/>
          <w:szCs w:val="22"/>
        </w:rPr>
        <w:t>Lab 13.</w:t>
      </w:r>
      <w:r>
        <w:rPr>
          <w:bCs/>
          <w:sz w:val="22"/>
          <w:szCs w:val="22"/>
        </w:rPr>
        <w:t xml:space="preserve">  Theme Nutritional quality of organic food</w:t>
      </w:r>
    </w:p>
    <w:p w14:paraId="47C3F543"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 xml:space="preserve">The major points are: </w:t>
      </w:r>
    </w:p>
    <w:p w14:paraId="282F84ED"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1/ organic plant products contain more dry matter and</w:t>
      </w:r>
      <w:r>
        <w:rPr>
          <w:rFonts w:ascii="Georgia" w:hAnsi="Georgia"/>
          <w:color w:val="333333"/>
          <w:sz w:val="27"/>
          <w:szCs w:val="27"/>
          <w:shd w:val="clear" w:color="auto" w:fill="FCFCFC"/>
        </w:rPr>
        <w:t xml:space="preserve"> </w:t>
      </w:r>
      <w:r w:rsidRPr="005C1F81">
        <w:rPr>
          <w:rFonts w:cs="Times New Roman"/>
          <w:color w:val="333333"/>
          <w:sz w:val="22"/>
          <w:szCs w:val="22"/>
          <w:shd w:val="clear" w:color="auto" w:fill="FCFCFC"/>
        </w:rPr>
        <w:t xml:space="preserve">minerals (Fe, Mg); and contain more </w:t>
      </w:r>
      <w:proofErr w:type="gramStart"/>
      <w:r w:rsidRPr="005C1F81">
        <w:rPr>
          <w:rFonts w:cs="Times New Roman"/>
          <w:color w:val="333333"/>
          <w:sz w:val="22"/>
          <w:szCs w:val="22"/>
          <w:shd w:val="clear" w:color="auto" w:fill="FCFCFC"/>
        </w:rPr>
        <w:t>anti-oxidant</w:t>
      </w:r>
      <w:proofErr w:type="gramEnd"/>
      <w:r w:rsidRPr="005C1F81">
        <w:rPr>
          <w:rFonts w:cs="Times New Roman"/>
          <w:color w:val="333333"/>
          <w:sz w:val="22"/>
          <w:szCs w:val="22"/>
          <w:shd w:val="clear" w:color="auto" w:fill="FCFCFC"/>
        </w:rPr>
        <w:t xml:space="preserve"> micronutrients such as phenols and salicylic acid,</w:t>
      </w:r>
    </w:p>
    <w:p w14:paraId="4705995A"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 xml:space="preserve"> 2/ organic animal products contain more polyunsaturated fatty acids, </w:t>
      </w:r>
    </w:p>
    <w:p w14:paraId="682CDFD0"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 xml:space="preserve">3/ data on carbohydrate, protein and vitamin levels are insufficiently documented, </w:t>
      </w:r>
    </w:p>
    <w:p w14:paraId="505A01B8"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 xml:space="preserve">4/ 94–100% of organic food does not contain any pesticide residues, </w:t>
      </w:r>
    </w:p>
    <w:p w14:paraId="407FB92B" w14:textId="77777777" w:rsidR="005C1F81" w:rsidRDefault="005C1F81" w:rsidP="005C1F81">
      <w:pPr>
        <w:snapToGrid w:val="0"/>
        <w:spacing w:line="256" w:lineRule="auto"/>
        <w:rPr>
          <w:rFonts w:cs="Times New Roman"/>
          <w:color w:val="333333"/>
          <w:sz w:val="22"/>
          <w:szCs w:val="22"/>
          <w:shd w:val="clear" w:color="auto" w:fill="FCFCFC"/>
        </w:rPr>
      </w:pPr>
      <w:r w:rsidRPr="005C1F81">
        <w:rPr>
          <w:rFonts w:cs="Times New Roman"/>
          <w:color w:val="333333"/>
          <w:sz w:val="22"/>
          <w:szCs w:val="22"/>
          <w:shd w:val="clear" w:color="auto" w:fill="FCFCFC"/>
        </w:rPr>
        <w:t xml:space="preserve">5/ organic vegetables contain far less nitrates, about 50% less; and 6/ organic cereals contain overall similar levels of mycotoxins as conventional ones. </w:t>
      </w:r>
    </w:p>
    <w:p w14:paraId="4A603AA5" w14:textId="2800C484" w:rsidR="005C1F81" w:rsidRPr="005C1F81" w:rsidRDefault="005C1F81" w:rsidP="005C1F81">
      <w:pPr>
        <w:snapToGrid w:val="0"/>
        <w:spacing w:line="256" w:lineRule="auto"/>
        <w:rPr>
          <w:rFonts w:cs="Times New Roman"/>
          <w:bCs/>
          <w:sz w:val="22"/>
          <w:szCs w:val="22"/>
        </w:rPr>
      </w:pPr>
      <w:r w:rsidRPr="005C1F81">
        <w:rPr>
          <w:rFonts w:cs="Times New Roman"/>
          <w:color w:val="333333"/>
          <w:sz w:val="22"/>
          <w:szCs w:val="22"/>
          <w:shd w:val="clear" w:color="auto" w:fill="FCFCFC"/>
        </w:rPr>
        <w:lastRenderedPageBreak/>
        <w:t xml:space="preserve">Thus, organic agricultural systems have already proved able to produce food with high quality standards. I </w:t>
      </w:r>
      <w:proofErr w:type="gramStart"/>
      <w:r w:rsidRPr="005C1F81">
        <w:rPr>
          <w:rFonts w:cs="Times New Roman"/>
          <w:color w:val="333333"/>
          <w:sz w:val="22"/>
          <w:szCs w:val="22"/>
          <w:shd w:val="clear" w:color="auto" w:fill="FCFCFC"/>
        </w:rPr>
        <w:t>propose also</w:t>
      </w:r>
      <w:proofErr w:type="gramEnd"/>
      <w:r w:rsidRPr="005C1F81">
        <w:rPr>
          <w:rFonts w:cs="Times New Roman"/>
          <w:color w:val="333333"/>
          <w:sz w:val="22"/>
          <w:szCs w:val="22"/>
          <w:shd w:val="clear" w:color="auto" w:fill="FCFCFC"/>
        </w:rPr>
        <w:t xml:space="preserve"> improvements of organic production to achieve sustainable food production for humans in the near future.</w:t>
      </w:r>
    </w:p>
    <w:p w14:paraId="59444CF6" w14:textId="77777777" w:rsidR="004342DF" w:rsidRDefault="004342DF" w:rsidP="00BC4077">
      <w:pPr>
        <w:snapToGrid w:val="0"/>
        <w:spacing w:line="256" w:lineRule="auto"/>
        <w:rPr>
          <w:bCs/>
          <w:sz w:val="22"/>
          <w:szCs w:val="22"/>
        </w:rPr>
      </w:pPr>
    </w:p>
    <w:p w14:paraId="59BCAC1D" w14:textId="07EDD19A" w:rsidR="00BC4077" w:rsidRDefault="005C1F81" w:rsidP="00BC4077">
      <w:pPr>
        <w:snapToGrid w:val="0"/>
        <w:spacing w:line="256" w:lineRule="auto"/>
        <w:rPr>
          <w:bCs/>
          <w:sz w:val="22"/>
          <w:szCs w:val="22"/>
        </w:rPr>
      </w:pPr>
      <w:r>
        <w:rPr>
          <w:b/>
          <w:bCs/>
          <w:sz w:val="22"/>
          <w:szCs w:val="22"/>
        </w:rPr>
        <w:t>Lab 14.</w:t>
      </w:r>
      <w:r>
        <w:rPr>
          <w:bCs/>
          <w:sz w:val="22"/>
          <w:szCs w:val="22"/>
        </w:rPr>
        <w:t xml:space="preserve">  Theme Methods of determination of </w:t>
      </w:r>
      <w:r>
        <w:rPr>
          <w:sz w:val="22"/>
          <w:szCs w:val="22"/>
        </w:rPr>
        <w:t>pesticides</w:t>
      </w:r>
      <w:r>
        <w:rPr>
          <w:bCs/>
          <w:sz w:val="22"/>
          <w:szCs w:val="22"/>
        </w:rPr>
        <w:t>.</w:t>
      </w:r>
    </w:p>
    <w:p w14:paraId="3A264852" w14:textId="77777777" w:rsidR="0057054D" w:rsidRDefault="0057054D" w:rsidP="0057054D">
      <w:pPr>
        <w:snapToGrid w:val="0"/>
        <w:spacing w:line="256" w:lineRule="auto"/>
        <w:ind w:firstLine="720"/>
        <w:rPr>
          <w:rFonts w:cs="Times New Roman"/>
          <w:color w:val="2E2E2E"/>
          <w:sz w:val="22"/>
          <w:szCs w:val="22"/>
        </w:rPr>
      </w:pPr>
      <w:r w:rsidRPr="0057054D">
        <w:rPr>
          <w:rFonts w:cs="Times New Roman"/>
          <w:color w:val="2E2E2E"/>
          <w:sz w:val="22"/>
          <w:szCs w:val="22"/>
        </w:rPr>
        <w:t xml:space="preserve">Pesticides are applied widely to protect plants from disease, </w:t>
      </w:r>
      <w:proofErr w:type="gramStart"/>
      <w:r w:rsidRPr="0057054D">
        <w:rPr>
          <w:rFonts w:cs="Times New Roman"/>
          <w:color w:val="2E2E2E"/>
          <w:sz w:val="22"/>
          <w:szCs w:val="22"/>
        </w:rPr>
        <w:t>weeds</w:t>
      </w:r>
      <w:proofErr w:type="gramEnd"/>
      <w:r w:rsidRPr="0057054D">
        <w:rPr>
          <w:rFonts w:cs="Times New Roman"/>
          <w:color w:val="2E2E2E"/>
          <w:sz w:val="22"/>
          <w:szCs w:val="22"/>
        </w:rPr>
        <w:t xml:space="preserve"> and insect damage, and usually come into contact with soil, where they undergo a variety of transformations that provide a complex pattern of metabolites. This article reviews the most relevant analytical methods for determining pesticides and their transformation products in soils. We address some recent advances in sampling and sample-preparation technologies for soil analysis. We discuss and critically evaluate procedures, such as liquid extraction methods (pressurized liquid extraction or microwave-assisted extraction) and solid-phase based methods (headspace solid-phase microextraction, solid-phase microextraction or matrix-solid-phase dispersion). Analysis of pesticides is generally carried out </w:t>
      </w:r>
      <w:proofErr w:type="gramStart"/>
      <w:r w:rsidRPr="0057054D">
        <w:rPr>
          <w:rFonts w:cs="Times New Roman"/>
          <w:color w:val="2E2E2E"/>
          <w:sz w:val="22"/>
          <w:szCs w:val="22"/>
        </w:rPr>
        <w:t>by</w:t>
      </w:r>
      <w:r>
        <w:rPr>
          <w:rFonts w:cs="Times New Roman"/>
          <w:color w:val="2E2E2E"/>
          <w:sz w:val="22"/>
          <w:szCs w:val="22"/>
        </w:rPr>
        <w:t>;</w:t>
      </w:r>
      <w:proofErr w:type="gramEnd"/>
    </w:p>
    <w:p w14:paraId="52392AF4" w14:textId="77777777" w:rsidR="0057054D" w:rsidRDefault="0057054D" w:rsidP="0057054D">
      <w:pPr>
        <w:snapToGrid w:val="0"/>
        <w:spacing w:line="256" w:lineRule="auto"/>
        <w:ind w:firstLine="720"/>
        <w:rPr>
          <w:rFonts w:cs="Times New Roman"/>
          <w:color w:val="2E2E2E"/>
          <w:sz w:val="22"/>
          <w:szCs w:val="22"/>
        </w:rPr>
      </w:pPr>
      <w:r w:rsidRPr="0057054D">
        <w:rPr>
          <w:rFonts w:cs="Times New Roman"/>
          <w:color w:val="2E2E2E"/>
          <w:sz w:val="22"/>
          <w:szCs w:val="22"/>
        </w:rPr>
        <w:t xml:space="preserve"> gas chromatography (GC) or liquid chromatography (LC) coupled to different detectors, especially to mass spectrometers (MSs). </w:t>
      </w:r>
    </w:p>
    <w:p w14:paraId="498EB698" w14:textId="69B14F39" w:rsidR="0057054D" w:rsidRPr="0057054D" w:rsidRDefault="0057054D" w:rsidP="0057054D">
      <w:pPr>
        <w:snapToGrid w:val="0"/>
        <w:spacing w:line="256" w:lineRule="auto"/>
        <w:ind w:firstLine="720"/>
        <w:rPr>
          <w:rFonts w:cs="Times New Roman"/>
          <w:color w:val="2E2E2E"/>
          <w:sz w:val="22"/>
          <w:szCs w:val="22"/>
        </w:rPr>
      </w:pPr>
      <w:r w:rsidRPr="0057054D">
        <w:rPr>
          <w:rFonts w:cs="Times New Roman"/>
          <w:color w:val="2E2E2E"/>
          <w:sz w:val="22"/>
          <w:szCs w:val="22"/>
        </w:rPr>
        <w:t>However, alternative and/or complementary methods, using capillary electrophoresis (CE), biosensors and bioassays have emerged recently. </w:t>
      </w:r>
    </w:p>
    <w:p w14:paraId="69BB877A" w14:textId="77777777" w:rsidR="0057054D" w:rsidRDefault="0057054D" w:rsidP="0057054D">
      <w:pPr>
        <w:snapToGrid w:val="0"/>
        <w:spacing w:line="256" w:lineRule="auto"/>
        <w:ind w:firstLine="720"/>
        <w:rPr>
          <w:rFonts w:cs="Times New Roman"/>
          <w:color w:val="2E2E2E"/>
          <w:sz w:val="22"/>
          <w:szCs w:val="22"/>
        </w:rPr>
      </w:pPr>
      <w:r w:rsidRPr="0057054D">
        <w:rPr>
          <w:rFonts w:cs="Times New Roman"/>
          <w:color w:val="2E2E2E"/>
          <w:sz w:val="22"/>
          <w:szCs w:val="22"/>
        </w:rPr>
        <w:t xml:space="preserve">Pesticides are widely applied to prevent unwanted pests from attacking crops and livestock which led to their access into the environment. Overuses of pesticides in environment are presence of pesticide residues and their metabolites that are causing serious detrimental effects on human health and all other living organisms. Several severe diseases (Cancer, chronic obstructive pulmonary disease, birth defects, infertility) and more damages of human health are associated with the exposure of pesticides. The maximum residue limits for pesticides have been regulated by the Codex Alimentarius Commission and European Union to protect human health. Thus, monitoring these compounds is extremely important to ensure that only permitted levels of pesticide are consumed. To date, several techniques have been developed for pesticide detection, from conventional analytical to advanced detection techniques. </w:t>
      </w:r>
    </w:p>
    <w:p w14:paraId="022EC4DC" w14:textId="7631A608" w:rsidR="0057054D" w:rsidRPr="0057054D" w:rsidRDefault="0057054D" w:rsidP="0057054D">
      <w:pPr>
        <w:snapToGrid w:val="0"/>
        <w:spacing w:line="256" w:lineRule="auto"/>
        <w:ind w:firstLine="720"/>
        <w:rPr>
          <w:rFonts w:cs="Times New Roman"/>
          <w:bCs/>
          <w:sz w:val="22"/>
          <w:szCs w:val="22"/>
        </w:rPr>
      </w:pPr>
      <w:r w:rsidRPr="0057054D">
        <w:rPr>
          <w:rFonts w:cs="Times New Roman"/>
          <w:color w:val="2E2E2E"/>
          <w:sz w:val="22"/>
          <w:szCs w:val="22"/>
        </w:rPr>
        <w:t>The conventional analytical methods are </w:t>
      </w:r>
      <w:hyperlink r:id="rId69" w:tooltip="Learn more about gas chromatography from ScienceDirect's AI-generated Topic Pages" w:history="1">
        <w:r w:rsidRPr="0057054D">
          <w:rPr>
            <w:rStyle w:val="a3"/>
            <w:rFonts w:cs="Times New Roman"/>
            <w:color w:val="2E2E2E"/>
            <w:sz w:val="22"/>
            <w:szCs w:val="22"/>
          </w:rPr>
          <w:t>gas chromatography</w:t>
        </w:r>
      </w:hyperlink>
      <w:r w:rsidRPr="0057054D">
        <w:rPr>
          <w:rFonts w:cs="Times New Roman"/>
          <w:color w:val="2E2E2E"/>
          <w:sz w:val="22"/>
          <w:szCs w:val="22"/>
        </w:rPr>
        <w:t> and </w:t>
      </w:r>
      <w:hyperlink r:id="rId70" w:tooltip="Learn more about high performance liquid chromatography from ScienceDirect's AI-generated Topic Pages" w:history="1">
        <w:r w:rsidRPr="0057054D">
          <w:rPr>
            <w:rStyle w:val="a3"/>
            <w:rFonts w:cs="Times New Roman"/>
            <w:color w:val="2E2E2E"/>
            <w:sz w:val="22"/>
            <w:szCs w:val="22"/>
          </w:rPr>
          <w:t>high performance liquid chromatography</w:t>
        </w:r>
      </w:hyperlink>
      <w:r w:rsidRPr="0057054D">
        <w:rPr>
          <w:rFonts w:cs="Times New Roman"/>
          <w:color w:val="2E2E2E"/>
          <w:sz w:val="22"/>
          <w:szCs w:val="22"/>
        </w:rPr>
        <w:t xml:space="preserve"> coupled with various detectors involved a sample preparation step prior to further analysis. Advanced detection methods refer to the </w:t>
      </w:r>
      <w:proofErr w:type="gramStart"/>
      <w:r w:rsidRPr="0057054D">
        <w:rPr>
          <w:rFonts w:cs="Times New Roman"/>
          <w:color w:val="2E2E2E"/>
          <w:sz w:val="22"/>
          <w:szCs w:val="22"/>
        </w:rPr>
        <w:t>sensors</w:t>
      </w:r>
      <w:proofErr w:type="gramEnd"/>
      <w:r w:rsidRPr="0057054D">
        <w:rPr>
          <w:rFonts w:cs="Times New Roman"/>
          <w:color w:val="2E2E2E"/>
          <w:sz w:val="22"/>
          <w:szCs w:val="22"/>
        </w:rPr>
        <w:t xml:space="preserve"> development such as electrochemical, optical, piezoelectric and molecular imprinted polymer. In this review, we summarized and explained the available analytical and advanced methods for determination of pesticides compound in environment and foodstuffs. Also, pesticides classification and its toxicity, and available extraction methods are briefly discussed.</w:t>
      </w:r>
    </w:p>
    <w:p w14:paraId="41159CB2" w14:textId="1F7ABCFE" w:rsidR="00BC4077" w:rsidRDefault="00BC4077" w:rsidP="00F952F7">
      <w:pPr>
        <w:shd w:val="clear" w:color="auto" w:fill="FFFFFF"/>
        <w:spacing w:after="100" w:afterAutospacing="1" w:line="450" w:lineRule="atLeast"/>
        <w:ind w:left="57" w:right="57"/>
        <w:outlineLvl w:val="2"/>
        <w:rPr>
          <w:rFonts w:ascii="Cambria" w:eastAsia="Times New Roman" w:hAnsi="Cambria" w:cs="Times New Roman"/>
          <w:color w:val="734126"/>
          <w:spacing w:val="-2"/>
          <w:sz w:val="32"/>
          <w:szCs w:val="32"/>
          <w:highlight w:val="yellow"/>
        </w:rPr>
      </w:pPr>
      <w:r>
        <w:rPr>
          <w:b/>
          <w:bCs/>
          <w:sz w:val="22"/>
          <w:szCs w:val="22"/>
        </w:rPr>
        <w:t>Lab 15.</w:t>
      </w:r>
      <w:r>
        <w:rPr>
          <w:bCs/>
          <w:sz w:val="22"/>
          <w:szCs w:val="22"/>
        </w:rPr>
        <w:t xml:space="preserve">  Theme </w:t>
      </w:r>
      <w:r>
        <w:rPr>
          <w:rFonts w:eastAsia="Microsoft JhengHei"/>
          <w:sz w:val="22"/>
          <w:szCs w:val="22"/>
        </w:rPr>
        <w:t>Contamination by microorganisms and mycotoxins</w:t>
      </w:r>
    </w:p>
    <w:p w14:paraId="309ECD34" w14:textId="4678E2A4" w:rsidR="00003C84" w:rsidRPr="006A48ED" w:rsidRDefault="006A48ED" w:rsidP="00F952F7">
      <w:pPr>
        <w:shd w:val="clear" w:color="auto" w:fill="FFFFFF"/>
        <w:spacing w:after="100" w:afterAutospacing="1" w:line="240" w:lineRule="auto"/>
        <w:ind w:left="57" w:right="57" w:firstLine="720"/>
        <w:rPr>
          <w:rFonts w:eastAsia="Times New Roman" w:cs="Times New Roman"/>
          <w:color w:val="212121"/>
          <w:sz w:val="22"/>
          <w:szCs w:val="22"/>
        </w:rPr>
      </w:pPr>
      <w:r w:rsidRPr="006A48ED">
        <w:rPr>
          <w:rFonts w:cs="Times New Roman"/>
          <w:color w:val="212121"/>
          <w:sz w:val="22"/>
          <w:szCs w:val="22"/>
          <w:shd w:val="clear" w:color="auto" w:fill="FFFFFF"/>
        </w:rPr>
        <w:t>The contamination of food and feeds with mycotoxins poses a global health risk to humans and animals, with major economic consequences. Good agricultural and manufacturing practices can help control mycotoxin contamination. Since these actions are not always effective, several methods of decontamination have also been developed, including physical, chemical, and biological methods. Biological decontamination using microorganisms has revealed new opportunities. However, these biological methods require legal regulations and more research before they can be used in food production. Currently, only selected biological methods are acceptable for the decontamination of feed. This review discusses the literature on the use of microorganisms to remove mycotoxins and presents their possible mechanisms of action. Special attention is given to </w:t>
      </w:r>
      <w:r w:rsidRPr="006A48ED">
        <w:rPr>
          <w:rStyle w:val="a5"/>
          <w:rFonts w:cs="Times New Roman"/>
          <w:color w:val="212121"/>
          <w:sz w:val="22"/>
          <w:szCs w:val="22"/>
          <w:shd w:val="clear" w:color="auto" w:fill="FFFFFF"/>
        </w:rPr>
        <w:t>Saccharomyces cerevisiae</w:t>
      </w:r>
      <w:r w:rsidRPr="006A48ED">
        <w:rPr>
          <w:rFonts w:cs="Times New Roman"/>
          <w:color w:val="212121"/>
          <w:sz w:val="22"/>
          <w:szCs w:val="22"/>
          <w:shd w:val="clear" w:color="auto" w:fill="FFFFFF"/>
        </w:rPr>
        <w:t> yeast and lactic acid bacteria, and the use of yeast cell wall derivatives.</w:t>
      </w:r>
    </w:p>
    <w:sectPr w:rsidR="00003C84" w:rsidRPr="006A48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448"/>
    <w:multiLevelType w:val="multilevel"/>
    <w:tmpl w:val="2BEC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851EC9"/>
    <w:multiLevelType w:val="hybridMultilevel"/>
    <w:tmpl w:val="7988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0FBB"/>
    <w:multiLevelType w:val="multilevel"/>
    <w:tmpl w:val="78A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26737"/>
    <w:multiLevelType w:val="multilevel"/>
    <w:tmpl w:val="C73A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24816717">
    <w:abstractNumId w:val="3"/>
    <w:lvlOverride w:ilvl="0"/>
    <w:lvlOverride w:ilvl="1"/>
    <w:lvlOverride w:ilvl="2"/>
    <w:lvlOverride w:ilvl="3"/>
    <w:lvlOverride w:ilvl="4"/>
    <w:lvlOverride w:ilvl="5"/>
    <w:lvlOverride w:ilvl="6"/>
    <w:lvlOverride w:ilvl="7"/>
    <w:lvlOverride w:ilvl="8"/>
  </w:num>
  <w:num w:numId="2" w16cid:durableId="312950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950560">
    <w:abstractNumId w:val="2"/>
  </w:num>
  <w:num w:numId="4" w16cid:durableId="178291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AB"/>
    <w:rsid w:val="00003C84"/>
    <w:rsid w:val="0005249B"/>
    <w:rsid w:val="001B598C"/>
    <w:rsid w:val="00303FE7"/>
    <w:rsid w:val="00362CDC"/>
    <w:rsid w:val="0040495B"/>
    <w:rsid w:val="004342DF"/>
    <w:rsid w:val="004B21A4"/>
    <w:rsid w:val="00515038"/>
    <w:rsid w:val="0057054D"/>
    <w:rsid w:val="005C1F81"/>
    <w:rsid w:val="006A48ED"/>
    <w:rsid w:val="006E210A"/>
    <w:rsid w:val="007637BF"/>
    <w:rsid w:val="007E76AD"/>
    <w:rsid w:val="00835CAD"/>
    <w:rsid w:val="00A76416"/>
    <w:rsid w:val="00A766C6"/>
    <w:rsid w:val="00AA6743"/>
    <w:rsid w:val="00B26FED"/>
    <w:rsid w:val="00BC4077"/>
    <w:rsid w:val="00CB2044"/>
    <w:rsid w:val="00D81082"/>
    <w:rsid w:val="00DB0CAB"/>
    <w:rsid w:val="00E1612B"/>
    <w:rsid w:val="00E40631"/>
    <w:rsid w:val="00E81FE7"/>
    <w:rsid w:val="00F25E64"/>
    <w:rsid w:val="00F9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96736"/>
  <w15:chartTrackingRefBased/>
  <w15:docId w15:val="{DB352DE8-5FD1-4590-B309-BEC9D402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CAB"/>
    <w:rPr>
      <w:color w:val="0563C1" w:themeColor="hyperlink"/>
      <w:u w:val="single"/>
    </w:rPr>
  </w:style>
  <w:style w:type="paragraph" w:customStyle="1" w:styleId="trt0xe">
    <w:name w:val="trt0xe"/>
    <w:basedOn w:val="a"/>
    <w:rsid w:val="004342DF"/>
    <w:pPr>
      <w:spacing w:before="100" w:beforeAutospacing="1" w:after="100" w:afterAutospacing="1" w:line="240" w:lineRule="auto"/>
    </w:pPr>
    <w:rPr>
      <w:rFonts w:eastAsia="Times New Roman" w:cs="Times New Roman"/>
    </w:rPr>
  </w:style>
  <w:style w:type="paragraph" w:styleId="a4">
    <w:name w:val="List Paragraph"/>
    <w:basedOn w:val="a"/>
    <w:uiPriority w:val="34"/>
    <w:qFormat/>
    <w:rsid w:val="004342DF"/>
    <w:pPr>
      <w:ind w:left="720"/>
      <w:contextualSpacing/>
    </w:pPr>
  </w:style>
  <w:style w:type="character" w:styleId="a5">
    <w:name w:val="Emphasis"/>
    <w:basedOn w:val="a0"/>
    <w:uiPriority w:val="20"/>
    <w:qFormat/>
    <w:rsid w:val="006A4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2617">
      <w:bodyDiv w:val="1"/>
      <w:marLeft w:val="0"/>
      <w:marRight w:val="0"/>
      <w:marTop w:val="0"/>
      <w:marBottom w:val="0"/>
      <w:divBdr>
        <w:top w:val="none" w:sz="0" w:space="0" w:color="auto"/>
        <w:left w:val="none" w:sz="0" w:space="0" w:color="auto"/>
        <w:bottom w:val="none" w:sz="0" w:space="0" w:color="auto"/>
        <w:right w:val="none" w:sz="0" w:space="0" w:color="auto"/>
      </w:divBdr>
    </w:div>
    <w:div w:id="456605215">
      <w:bodyDiv w:val="1"/>
      <w:marLeft w:val="0"/>
      <w:marRight w:val="0"/>
      <w:marTop w:val="0"/>
      <w:marBottom w:val="0"/>
      <w:divBdr>
        <w:top w:val="none" w:sz="0" w:space="0" w:color="auto"/>
        <w:left w:val="none" w:sz="0" w:space="0" w:color="auto"/>
        <w:bottom w:val="none" w:sz="0" w:space="0" w:color="auto"/>
        <w:right w:val="none" w:sz="0" w:space="0" w:color="auto"/>
      </w:divBdr>
      <w:divsChild>
        <w:div w:id="108403732">
          <w:marLeft w:val="0"/>
          <w:marRight w:val="0"/>
          <w:marTop w:val="0"/>
          <w:marBottom w:val="180"/>
          <w:divBdr>
            <w:top w:val="none" w:sz="0" w:space="0" w:color="auto"/>
            <w:left w:val="none" w:sz="0" w:space="0" w:color="auto"/>
            <w:bottom w:val="none" w:sz="0" w:space="0" w:color="auto"/>
            <w:right w:val="none" w:sz="0" w:space="0" w:color="auto"/>
          </w:divBdr>
        </w:div>
      </w:divsChild>
    </w:div>
    <w:div w:id="637760081">
      <w:bodyDiv w:val="1"/>
      <w:marLeft w:val="0"/>
      <w:marRight w:val="0"/>
      <w:marTop w:val="0"/>
      <w:marBottom w:val="0"/>
      <w:divBdr>
        <w:top w:val="none" w:sz="0" w:space="0" w:color="auto"/>
        <w:left w:val="none" w:sz="0" w:space="0" w:color="auto"/>
        <w:bottom w:val="none" w:sz="0" w:space="0" w:color="auto"/>
        <w:right w:val="none" w:sz="0" w:space="0" w:color="auto"/>
      </w:divBdr>
    </w:div>
    <w:div w:id="684206735">
      <w:bodyDiv w:val="1"/>
      <w:marLeft w:val="0"/>
      <w:marRight w:val="0"/>
      <w:marTop w:val="0"/>
      <w:marBottom w:val="0"/>
      <w:divBdr>
        <w:top w:val="none" w:sz="0" w:space="0" w:color="auto"/>
        <w:left w:val="none" w:sz="0" w:space="0" w:color="auto"/>
        <w:bottom w:val="none" w:sz="0" w:space="0" w:color="auto"/>
        <w:right w:val="none" w:sz="0" w:space="0" w:color="auto"/>
      </w:divBdr>
    </w:div>
    <w:div w:id="759059611">
      <w:bodyDiv w:val="1"/>
      <w:marLeft w:val="0"/>
      <w:marRight w:val="0"/>
      <w:marTop w:val="0"/>
      <w:marBottom w:val="0"/>
      <w:divBdr>
        <w:top w:val="none" w:sz="0" w:space="0" w:color="auto"/>
        <w:left w:val="none" w:sz="0" w:space="0" w:color="auto"/>
        <w:bottom w:val="none" w:sz="0" w:space="0" w:color="auto"/>
        <w:right w:val="none" w:sz="0" w:space="0" w:color="auto"/>
      </w:divBdr>
    </w:div>
    <w:div w:id="760032753">
      <w:bodyDiv w:val="1"/>
      <w:marLeft w:val="0"/>
      <w:marRight w:val="0"/>
      <w:marTop w:val="0"/>
      <w:marBottom w:val="0"/>
      <w:divBdr>
        <w:top w:val="none" w:sz="0" w:space="0" w:color="auto"/>
        <w:left w:val="none" w:sz="0" w:space="0" w:color="auto"/>
        <w:bottom w:val="none" w:sz="0" w:space="0" w:color="auto"/>
        <w:right w:val="none" w:sz="0" w:space="0" w:color="auto"/>
      </w:divBdr>
    </w:div>
    <w:div w:id="974217490">
      <w:bodyDiv w:val="1"/>
      <w:marLeft w:val="0"/>
      <w:marRight w:val="0"/>
      <w:marTop w:val="0"/>
      <w:marBottom w:val="0"/>
      <w:divBdr>
        <w:top w:val="none" w:sz="0" w:space="0" w:color="auto"/>
        <w:left w:val="none" w:sz="0" w:space="0" w:color="auto"/>
        <w:bottom w:val="none" w:sz="0" w:space="0" w:color="auto"/>
        <w:right w:val="none" w:sz="0" w:space="0" w:color="auto"/>
      </w:divBdr>
    </w:div>
    <w:div w:id="1013610210">
      <w:bodyDiv w:val="1"/>
      <w:marLeft w:val="0"/>
      <w:marRight w:val="0"/>
      <w:marTop w:val="0"/>
      <w:marBottom w:val="0"/>
      <w:divBdr>
        <w:top w:val="none" w:sz="0" w:space="0" w:color="auto"/>
        <w:left w:val="none" w:sz="0" w:space="0" w:color="auto"/>
        <w:bottom w:val="none" w:sz="0" w:space="0" w:color="auto"/>
        <w:right w:val="none" w:sz="0" w:space="0" w:color="auto"/>
      </w:divBdr>
    </w:div>
    <w:div w:id="1151825328">
      <w:bodyDiv w:val="1"/>
      <w:marLeft w:val="0"/>
      <w:marRight w:val="0"/>
      <w:marTop w:val="0"/>
      <w:marBottom w:val="0"/>
      <w:divBdr>
        <w:top w:val="none" w:sz="0" w:space="0" w:color="auto"/>
        <w:left w:val="none" w:sz="0" w:space="0" w:color="auto"/>
        <w:bottom w:val="none" w:sz="0" w:space="0" w:color="auto"/>
        <w:right w:val="none" w:sz="0" w:space="0" w:color="auto"/>
      </w:divBdr>
    </w:div>
    <w:div w:id="1285190682">
      <w:bodyDiv w:val="1"/>
      <w:marLeft w:val="0"/>
      <w:marRight w:val="0"/>
      <w:marTop w:val="0"/>
      <w:marBottom w:val="0"/>
      <w:divBdr>
        <w:top w:val="none" w:sz="0" w:space="0" w:color="auto"/>
        <w:left w:val="none" w:sz="0" w:space="0" w:color="auto"/>
        <w:bottom w:val="none" w:sz="0" w:space="0" w:color="auto"/>
        <w:right w:val="none" w:sz="0" w:space="0" w:color="auto"/>
      </w:divBdr>
    </w:div>
    <w:div w:id="1335306771">
      <w:bodyDiv w:val="1"/>
      <w:marLeft w:val="0"/>
      <w:marRight w:val="0"/>
      <w:marTop w:val="0"/>
      <w:marBottom w:val="0"/>
      <w:divBdr>
        <w:top w:val="none" w:sz="0" w:space="0" w:color="auto"/>
        <w:left w:val="none" w:sz="0" w:space="0" w:color="auto"/>
        <w:bottom w:val="none" w:sz="0" w:space="0" w:color="auto"/>
        <w:right w:val="none" w:sz="0" w:space="0" w:color="auto"/>
      </w:divBdr>
    </w:div>
    <w:div w:id="1349023565">
      <w:bodyDiv w:val="1"/>
      <w:marLeft w:val="0"/>
      <w:marRight w:val="0"/>
      <w:marTop w:val="0"/>
      <w:marBottom w:val="0"/>
      <w:divBdr>
        <w:top w:val="none" w:sz="0" w:space="0" w:color="auto"/>
        <w:left w:val="none" w:sz="0" w:space="0" w:color="auto"/>
        <w:bottom w:val="none" w:sz="0" w:space="0" w:color="auto"/>
        <w:right w:val="none" w:sz="0" w:space="0" w:color="auto"/>
      </w:divBdr>
    </w:div>
    <w:div w:id="1394307961">
      <w:bodyDiv w:val="1"/>
      <w:marLeft w:val="0"/>
      <w:marRight w:val="0"/>
      <w:marTop w:val="0"/>
      <w:marBottom w:val="0"/>
      <w:divBdr>
        <w:top w:val="none" w:sz="0" w:space="0" w:color="auto"/>
        <w:left w:val="none" w:sz="0" w:space="0" w:color="auto"/>
        <w:bottom w:val="none" w:sz="0" w:space="0" w:color="auto"/>
        <w:right w:val="none" w:sz="0" w:space="0" w:color="auto"/>
      </w:divBdr>
    </w:div>
    <w:div w:id="1517113467">
      <w:bodyDiv w:val="1"/>
      <w:marLeft w:val="0"/>
      <w:marRight w:val="0"/>
      <w:marTop w:val="0"/>
      <w:marBottom w:val="0"/>
      <w:divBdr>
        <w:top w:val="none" w:sz="0" w:space="0" w:color="auto"/>
        <w:left w:val="none" w:sz="0" w:space="0" w:color="auto"/>
        <w:bottom w:val="none" w:sz="0" w:space="0" w:color="auto"/>
        <w:right w:val="none" w:sz="0" w:space="0" w:color="auto"/>
      </w:divBdr>
    </w:div>
    <w:div w:id="21128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918800/" TargetMode="External"/><Relationship Id="rId21" Type="http://schemas.openxmlformats.org/officeDocument/2006/relationships/hyperlink" Target="https://www.ncbi.nlm.nih.gov/pmc/articles/PMC6918800/" TargetMode="External"/><Relationship Id="rId42" Type="http://schemas.openxmlformats.org/officeDocument/2006/relationships/hyperlink" Target="https://www.ncbi.nlm.nih.gov/pmc/articles/PMC6918800/" TargetMode="External"/><Relationship Id="rId47" Type="http://schemas.openxmlformats.org/officeDocument/2006/relationships/hyperlink" Target="https://www.ncbi.nlm.nih.gov/pmc/articles/PMC6918800/" TargetMode="External"/><Relationship Id="rId63" Type="http://schemas.openxmlformats.org/officeDocument/2006/relationships/hyperlink" Target="https://www.ncbi.nlm.nih.gov/pmc/articles/PMC6918800/" TargetMode="External"/><Relationship Id="rId68" Type="http://schemas.openxmlformats.org/officeDocument/2006/relationships/hyperlink" Target="https://www.ncbi.nlm.nih.gov/pmc/articles/PMC6918800/" TargetMode="External"/><Relationship Id="rId7" Type="http://schemas.openxmlformats.org/officeDocument/2006/relationships/hyperlink" Target="https://www.thermofisher.com/order/catalog/product/441302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6918800/" TargetMode="External"/><Relationship Id="rId29" Type="http://schemas.openxmlformats.org/officeDocument/2006/relationships/hyperlink" Target="https://www.ncbi.nlm.nih.gov/pmc/articles/PMC6918800/" TargetMode="External"/><Relationship Id="rId11" Type="http://schemas.openxmlformats.org/officeDocument/2006/relationships/hyperlink" Target="https://www.ncbi.nlm.nih.gov/pmc/articles/PMC6918800/" TargetMode="External"/><Relationship Id="rId24" Type="http://schemas.openxmlformats.org/officeDocument/2006/relationships/hyperlink" Target="https://www.ncbi.nlm.nih.gov/pmc/articles/PMC6918800/" TargetMode="External"/><Relationship Id="rId32" Type="http://schemas.openxmlformats.org/officeDocument/2006/relationships/hyperlink" Target="https://www.ncbi.nlm.nih.gov/pmc/articles/PMC6918800/" TargetMode="External"/><Relationship Id="rId37" Type="http://schemas.openxmlformats.org/officeDocument/2006/relationships/hyperlink" Target="https://www.ncbi.nlm.nih.gov/pmc/articles/PMC6918800/" TargetMode="External"/><Relationship Id="rId40" Type="http://schemas.openxmlformats.org/officeDocument/2006/relationships/hyperlink" Target="https://www.ncbi.nlm.nih.gov/pmc/articles/PMC6918800/" TargetMode="External"/><Relationship Id="rId45" Type="http://schemas.openxmlformats.org/officeDocument/2006/relationships/hyperlink" Target="https://www.ncbi.nlm.nih.gov/pmc/articles/PMC6918800/" TargetMode="External"/><Relationship Id="rId53" Type="http://schemas.openxmlformats.org/officeDocument/2006/relationships/hyperlink" Target="https://www.ncbi.nlm.nih.gov/pmc/articles/PMC6918800/" TargetMode="External"/><Relationship Id="rId58" Type="http://schemas.openxmlformats.org/officeDocument/2006/relationships/hyperlink" Target="https://www.ncbi.nlm.nih.gov/pmc/articles/PMC6918800/" TargetMode="External"/><Relationship Id="rId66" Type="http://schemas.openxmlformats.org/officeDocument/2006/relationships/hyperlink" Target="https://www.ncbi.nlm.nih.gov/pmc/articles/PMC6918800/" TargetMode="External"/><Relationship Id="rId5" Type="http://schemas.openxmlformats.org/officeDocument/2006/relationships/hyperlink" Target="https://www.thermofisher.com/order/catalog/product/10503027" TargetMode="External"/><Relationship Id="rId61" Type="http://schemas.openxmlformats.org/officeDocument/2006/relationships/hyperlink" Target="https://www.ncbi.nlm.nih.gov/pmc/articles/PMC6918800/" TargetMode="External"/><Relationship Id="rId19" Type="http://schemas.openxmlformats.org/officeDocument/2006/relationships/hyperlink" Target="https://www.ncbi.nlm.nih.gov/pmc/articles/PMC6918800/" TargetMode="External"/><Relationship Id="rId14" Type="http://schemas.openxmlformats.org/officeDocument/2006/relationships/hyperlink" Target="https://www.ncbi.nlm.nih.gov/pmc/articles/PMC6918800/" TargetMode="External"/><Relationship Id="rId22" Type="http://schemas.openxmlformats.org/officeDocument/2006/relationships/hyperlink" Target="https://www.ncbi.nlm.nih.gov/pmc/articles/PMC6918800/" TargetMode="External"/><Relationship Id="rId27" Type="http://schemas.openxmlformats.org/officeDocument/2006/relationships/hyperlink" Target="https://www.ncbi.nlm.nih.gov/pmc/articles/PMC6918800/" TargetMode="External"/><Relationship Id="rId30" Type="http://schemas.openxmlformats.org/officeDocument/2006/relationships/hyperlink" Target="https://www.ncbi.nlm.nih.gov/pmc/articles/PMC6918800/" TargetMode="External"/><Relationship Id="rId35" Type="http://schemas.openxmlformats.org/officeDocument/2006/relationships/hyperlink" Target="https://www.ncbi.nlm.nih.gov/pmc/articles/PMC6918800/" TargetMode="External"/><Relationship Id="rId43" Type="http://schemas.openxmlformats.org/officeDocument/2006/relationships/hyperlink" Target="https://www.ncbi.nlm.nih.gov/pmc/articles/PMC6918800/" TargetMode="External"/><Relationship Id="rId48" Type="http://schemas.openxmlformats.org/officeDocument/2006/relationships/hyperlink" Target="https://www.ncbi.nlm.nih.gov/pmc/articles/PMC6918800/" TargetMode="External"/><Relationship Id="rId56" Type="http://schemas.openxmlformats.org/officeDocument/2006/relationships/hyperlink" Target="https://www.ncbi.nlm.nih.gov/pmc/articles/PMC6918800/" TargetMode="External"/><Relationship Id="rId64" Type="http://schemas.openxmlformats.org/officeDocument/2006/relationships/hyperlink" Target="https://www.ncbi.nlm.nih.gov/pmc/articles/PMC6918800/" TargetMode="External"/><Relationship Id="rId69" Type="http://schemas.openxmlformats.org/officeDocument/2006/relationships/hyperlink" Target="https://www.sciencedirect.com/topics/food-science/gas-chromatography" TargetMode="External"/><Relationship Id="rId8" Type="http://schemas.openxmlformats.org/officeDocument/2006/relationships/hyperlink" Target="https://opsdiagnostics.com/notes/protocols/ctab_protocol_for_plants.htm" TargetMode="External"/><Relationship Id="rId51" Type="http://schemas.openxmlformats.org/officeDocument/2006/relationships/hyperlink" Target="https://www.ncbi.nlm.nih.gov/pmc/articles/PMC691880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mc/articles/PMC6918800/" TargetMode="External"/><Relationship Id="rId17" Type="http://schemas.openxmlformats.org/officeDocument/2006/relationships/hyperlink" Target="https://www.ncbi.nlm.nih.gov/pmc/articles/PMC6918800/" TargetMode="External"/><Relationship Id="rId25" Type="http://schemas.openxmlformats.org/officeDocument/2006/relationships/hyperlink" Target="https://www.ncbi.nlm.nih.gov/pmc/articles/PMC6918800/" TargetMode="External"/><Relationship Id="rId33" Type="http://schemas.openxmlformats.org/officeDocument/2006/relationships/hyperlink" Target="https://www.ncbi.nlm.nih.gov/pmc/articles/PMC6918800/" TargetMode="External"/><Relationship Id="rId38" Type="http://schemas.openxmlformats.org/officeDocument/2006/relationships/hyperlink" Target="https://www.ncbi.nlm.nih.gov/pmc/articles/PMC6918800/" TargetMode="External"/><Relationship Id="rId46" Type="http://schemas.openxmlformats.org/officeDocument/2006/relationships/hyperlink" Target="https://www.ncbi.nlm.nih.gov/pmc/articles/PMC6918800/" TargetMode="External"/><Relationship Id="rId59" Type="http://schemas.openxmlformats.org/officeDocument/2006/relationships/hyperlink" Target="https://www.ncbi.nlm.nih.gov/pmc/articles/PMC6918800/" TargetMode="External"/><Relationship Id="rId67" Type="http://schemas.openxmlformats.org/officeDocument/2006/relationships/hyperlink" Target="https://www.ncbi.nlm.nih.gov/pmc/articles/PMC6918800/" TargetMode="External"/><Relationship Id="rId20" Type="http://schemas.openxmlformats.org/officeDocument/2006/relationships/hyperlink" Target="https://www.ncbi.nlm.nih.gov/pmc/articles/PMC6918800/" TargetMode="External"/><Relationship Id="rId41" Type="http://schemas.openxmlformats.org/officeDocument/2006/relationships/hyperlink" Target="https://www.ncbi.nlm.nih.gov/pmc/articles/PMC6918800/" TargetMode="External"/><Relationship Id="rId54" Type="http://schemas.openxmlformats.org/officeDocument/2006/relationships/hyperlink" Target="https://www.ncbi.nlm.nih.gov/pmc/articles/PMC6918800/" TargetMode="External"/><Relationship Id="rId62" Type="http://schemas.openxmlformats.org/officeDocument/2006/relationships/hyperlink" Target="https://www.ncbi.nlm.nih.gov/pmc/articles/PMC6918800/" TargetMode="External"/><Relationship Id="rId70" Type="http://schemas.openxmlformats.org/officeDocument/2006/relationships/hyperlink" Target="https://www.sciencedirect.com/topics/biochemistry-genetics-and-molecular-biology/high-performance-liquid-chromatography" TargetMode="External"/><Relationship Id="rId1" Type="http://schemas.openxmlformats.org/officeDocument/2006/relationships/numbering" Target="numbering.xml"/><Relationship Id="rId6" Type="http://schemas.openxmlformats.org/officeDocument/2006/relationships/hyperlink" Target="https://www.thermofisher.com/order/catalog/product/K182002" TargetMode="External"/><Relationship Id="rId15" Type="http://schemas.openxmlformats.org/officeDocument/2006/relationships/hyperlink" Target="https://www.ncbi.nlm.nih.gov/pmc/articles/PMC6918800/" TargetMode="External"/><Relationship Id="rId23" Type="http://schemas.openxmlformats.org/officeDocument/2006/relationships/hyperlink" Target="https://www.ncbi.nlm.nih.gov/pmc/articles/PMC6918800/" TargetMode="External"/><Relationship Id="rId28" Type="http://schemas.openxmlformats.org/officeDocument/2006/relationships/hyperlink" Target="https://www.ncbi.nlm.nih.gov/pmc/articles/PMC6918800/" TargetMode="External"/><Relationship Id="rId36" Type="http://schemas.openxmlformats.org/officeDocument/2006/relationships/hyperlink" Target="https://www.ncbi.nlm.nih.gov/pmc/articles/PMC6918800/" TargetMode="External"/><Relationship Id="rId49" Type="http://schemas.openxmlformats.org/officeDocument/2006/relationships/hyperlink" Target="https://www.ncbi.nlm.nih.gov/pmc/articles/PMC6918800/" TargetMode="External"/><Relationship Id="rId57" Type="http://schemas.openxmlformats.org/officeDocument/2006/relationships/hyperlink" Target="https://www.ncbi.nlm.nih.gov/pmc/articles/PMC6918800/" TargetMode="External"/><Relationship Id="rId10" Type="http://schemas.openxmlformats.org/officeDocument/2006/relationships/hyperlink" Target="https://opsdiagnostics.com/notes/protocols/spin_column_plant_protocol.html" TargetMode="External"/><Relationship Id="rId31" Type="http://schemas.openxmlformats.org/officeDocument/2006/relationships/hyperlink" Target="https://www.ncbi.nlm.nih.gov/pmc/articles/PMC6918800/" TargetMode="External"/><Relationship Id="rId44" Type="http://schemas.openxmlformats.org/officeDocument/2006/relationships/hyperlink" Target="https://www.ncbi.nlm.nih.gov/pmc/articles/PMC6918800/" TargetMode="External"/><Relationship Id="rId52" Type="http://schemas.openxmlformats.org/officeDocument/2006/relationships/hyperlink" Target="https://www.ncbi.nlm.nih.gov/pmc/articles/PMC6918800/" TargetMode="External"/><Relationship Id="rId60" Type="http://schemas.openxmlformats.org/officeDocument/2006/relationships/hyperlink" Target="https://www.ncbi.nlm.nih.gov/pmc/articles/PMC6918800/" TargetMode="External"/><Relationship Id="rId65" Type="http://schemas.openxmlformats.org/officeDocument/2006/relationships/hyperlink" Target="https://www.ncbi.nlm.nih.gov/pmc/articles/PMC6918800/" TargetMode="External"/><Relationship Id="rId4" Type="http://schemas.openxmlformats.org/officeDocument/2006/relationships/webSettings" Target="webSettings.xml"/><Relationship Id="rId9" Type="http://schemas.openxmlformats.org/officeDocument/2006/relationships/hyperlink" Target="https://opsdiagnostics.com/notes/protocols/ctab_protocol_for_plants.htm" TargetMode="External"/><Relationship Id="rId13" Type="http://schemas.openxmlformats.org/officeDocument/2006/relationships/hyperlink" Target="https://www.ncbi.nlm.nih.gov/pmc/articles/PMC6918800/" TargetMode="External"/><Relationship Id="rId18" Type="http://schemas.openxmlformats.org/officeDocument/2006/relationships/hyperlink" Target="https://www.ncbi.nlm.nih.gov/pmc/articles/PMC6918800/" TargetMode="External"/><Relationship Id="rId39" Type="http://schemas.openxmlformats.org/officeDocument/2006/relationships/hyperlink" Target="https://www.ncbi.nlm.nih.gov/pmc/articles/PMC6918800/" TargetMode="External"/><Relationship Id="rId34" Type="http://schemas.openxmlformats.org/officeDocument/2006/relationships/hyperlink" Target="https://www.ncbi.nlm.nih.gov/pmc/articles/PMC6918800/" TargetMode="External"/><Relationship Id="rId50" Type="http://schemas.openxmlformats.org/officeDocument/2006/relationships/hyperlink" Target="https://www.ncbi.nlm.nih.gov/pmc/articles/PMC6918800/" TargetMode="External"/><Relationship Id="rId55" Type="http://schemas.openxmlformats.org/officeDocument/2006/relationships/hyperlink" Target="https://www.ncbi.nlm.nih.gov/pmc/articles/PMC691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 </cp:lastModifiedBy>
  <cp:revision>10</cp:revision>
  <dcterms:created xsi:type="dcterms:W3CDTF">2022-09-07T09:23:00Z</dcterms:created>
  <dcterms:modified xsi:type="dcterms:W3CDTF">2022-09-10T13:48:00Z</dcterms:modified>
</cp:coreProperties>
</file>